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8B" w:rsidRDefault="00061E8B" w:rsidP="00061E8B">
      <w:pPr>
        <w:pStyle w:val="DefaultText"/>
        <w:jc w:val="center"/>
        <w:rPr>
          <w:rFonts w:ascii="Courier New" w:hAnsi="Courier New"/>
        </w:rPr>
      </w:pPr>
      <w:bookmarkStart w:id="0" w:name="_GoBack"/>
      <w:bookmarkEnd w:id="0"/>
      <w:r>
        <w:rPr>
          <w:rFonts w:ascii="Courier New" w:hAnsi="Courier New"/>
        </w:rPr>
        <w:t>PURPOSE AND SCOPE OF THE NAVY DISCHARGE REVIEW BOARD</w:t>
      </w:r>
    </w:p>
    <w:p w:rsidR="00061E8B" w:rsidRDefault="00061E8B" w:rsidP="00061E8B">
      <w:pPr>
        <w:pStyle w:val="DefaultText"/>
        <w:jc w:val="center"/>
        <w:rPr>
          <w:rFonts w:ascii="Courier New" w:hAnsi="Courier New"/>
        </w:rPr>
      </w:pPr>
      <w:r>
        <w:rPr>
          <w:rFonts w:ascii="Courier New" w:hAnsi="Courier New"/>
        </w:rPr>
        <w:t xml:space="preserve"> AND THE BOARD FOR THE CORRECTION OF NAVAL RECORDS</w:t>
      </w:r>
    </w:p>
    <w:p w:rsidR="00061E8B" w:rsidRDefault="00061E8B" w:rsidP="00061E8B">
      <w:pPr>
        <w:pStyle w:val="DefaultText"/>
        <w:rPr>
          <w:rFonts w:ascii="Courier New" w:hAnsi="Courier New"/>
        </w:rPr>
      </w:pPr>
    </w:p>
    <w:p w:rsidR="00061E8B" w:rsidRDefault="00061E8B" w:rsidP="00750B17">
      <w:pPr>
        <w:pStyle w:val="DefaultText"/>
        <w:rPr>
          <w:rFonts w:ascii="Courier New" w:hAnsi="Courier New"/>
        </w:rPr>
      </w:pPr>
      <w:r>
        <w:rPr>
          <w:rFonts w:ascii="Courier New" w:hAnsi="Courier New"/>
        </w:rPr>
        <w:t xml:space="preserve">1.  </w:t>
      </w:r>
      <w:r>
        <w:rPr>
          <w:rFonts w:ascii="Courier New" w:hAnsi="Courier New"/>
          <w:b/>
          <w:u w:val="single"/>
        </w:rPr>
        <w:t>The Board for Correction o</w:t>
      </w:r>
      <w:r w:rsidR="00A542CB">
        <w:rPr>
          <w:rFonts w:ascii="Courier New" w:hAnsi="Courier New"/>
          <w:b/>
          <w:u w:val="single"/>
        </w:rPr>
        <w:t>f</w:t>
      </w:r>
      <w:r>
        <w:rPr>
          <w:rFonts w:ascii="Courier New" w:hAnsi="Courier New"/>
          <w:b/>
          <w:u w:val="single"/>
        </w:rPr>
        <w:t xml:space="preserve"> Naval Record</w:t>
      </w:r>
      <w:r w:rsidR="00750B17">
        <w:rPr>
          <w:rFonts w:ascii="Courier New" w:hAnsi="Courier New"/>
          <w:b/>
          <w:u w:val="single"/>
        </w:rPr>
        <w:t>s</w:t>
      </w:r>
      <w:r>
        <w:rPr>
          <w:rFonts w:ascii="Courier New" w:hAnsi="Courier New"/>
          <w:b/>
          <w:u w:val="single"/>
        </w:rPr>
        <w:t xml:space="preserve"> (BCNR).</w:t>
      </w:r>
      <w:r>
        <w:rPr>
          <w:rFonts w:ascii="Courier New" w:hAnsi="Courier New"/>
        </w:rPr>
        <w:t xml:space="preserve"> Consisting of not less than three members, was established pursuant to Title 10 U. S. Code, Section 1552, and considers all application</w:t>
      </w:r>
      <w:r w:rsidR="00750B17">
        <w:rPr>
          <w:rFonts w:ascii="Courier New" w:hAnsi="Courier New"/>
        </w:rPr>
        <w:t>s</w:t>
      </w:r>
      <w:r>
        <w:rPr>
          <w:rFonts w:ascii="Courier New" w:hAnsi="Courier New"/>
        </w:rPr>
        <w:t xml:space="preserve"> properly before it for the purpose of determining the existence of an error or an injustice, and to make appropriate recommendations to the Secretary of the Navy.  Applications may be made by the member or former member, or such other persons as the board determines to be competent for such purpose.  The Board for Correction of Naval records, unlike the Naval Discharge Review Board (NDRB), may review discharges awarded by a general courts-martial.  Other types of cases reviewed by the board include, but are not limited to</w:t>
      </w:r>
      <w:r w:rsidR="00750B17">
        <w:rPr>
          <w:rFonts w:ascii="Courier New" w:hAnsi="Courier New"/>
        </w:rPr>
        <w:t xml:space="preserve">:  </w:t>
      </w:r>
      <w:r>
        <w:rPr>
          <w:rFonts w:ascii="Courier New" w:hAnsi="Courier New"/>
        </w:rPr>
        <w:t xml:space="preserve"> those involving request for physical disability retirement</w:t>
      </w:r>
      <w:r w:rsidR="00750B17">
        <w:rPr>
          <w:rFonts w:ascii="Courier New" w:hAnsi="Courier New"/>
        </w:rPr>
        <w:t>; the cancel</w:t>
      </w:r>
      <w:r>
        <w:rPr>
          <w:rFonts w:ascii="Courier New" w:hAnsi="Courier New"/>
        </w:rPr>
        <w:t>lation of a physical disability discharge, and substituting</w:t>
      </w:r>
      <w:r w:rsidR="00750B17">
        <w:rPr>
          <w:rFonts w:ascii="Courier New" w:hAnsi="Courier New"/>
        </w:rPr>
        <w:t>,</w:t>
      </w:r>
      <w:r>
        <w:rPr>
          <w:rFonts w:ascii="Courier New" w:hAnsi="Courier New"/>
        </w:rPr>
        <w:t xml:space="preserve"> </w:t>
      </w:r>
      <w:r w:rsidR="00750B17">
        <w:rPr>
          <w:rFonts w:ascii="Courier New" w:hAnsi="Courier New"/>
        </w:rPr>
        <w:t>i</w:t>
      </w:r>
      <w:r>
        <w:rPr>
          <w:rFonts w:ascii="Courier New" w:hAnsi="Courier New"/>
        </w:rPr>
        <w:t xml:space="preserve">n lieu thereof, retirement for disability; an increase in the percentage of physical disability; the removal of derogatory material from an official record; the review of nonjudicial punishment; and the restoration of rank, grade, or rating.  Also this board will review the case of a person who is in a Reserve component and who contends that the release from active duty should have been honorable, rather </w:t>
      </w:r>
      <w:r w:rsidR="00750B17">
        <w:rPr>
          <w:rFonts w:ascii="Courier New" w:hAnsi="Courier New"/>
        </w:rPr>
        <w:t>than general (</w:t>
      </w:r>
      <w:r>
        <w:rPr>
          <w:rFonts w:ascii="Courier New" w:hAnsi="Courier New"/>
        </w:rPr>
        <w:t>under honorable conditions</w:t>
      </w:r>
      <w:r w:rsidR="00750B17">
        <w:rPr>
          <w:rFonts w:ascii="Courier New" w:hAnsi="Courier New"/>
        </w:rPr>
        <w:t>).</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 xml:space="preserve">2.  The law requires that </w:t>
      </w:r>
      <w:r w:rsidR="00750B17">
        <w:rPr>
          <w:rFonts w:ascii="Courier New" w:hAnsi="Courier New"/>
        </w:rPr>
        <w:t xml:space="preserve">the </w:t>
      </w:r>
      <w:r>
        <w:rPr>
          <w:rFonts w:ascii="Courier New" w:hAnsi="Courier New"/>
        </w:rPr>
        <w:t xml:space="preserve">application be filed with the Board for Correction of Naval Records within 3 years of the date of discovery of the error or injustice.  However, the board is authorized to excuse the fact that the application was filed at a </w:t>
      </w:r>
      <w:r w:rsidR="00750B17">
        <w:rPr>
          <w:rFonts w:ascii="Courier New" w:hAnsi="Courier New"/>
        </w:rPr>
        <w:t xml:space="preserve">later </w:t>
      </w:r>
      <w:r>
        <w:rPr>
          <w:rFonts w:ascii="Courier New" w:hAnsi="Courier New"/>
        </w:rPr>
        <w:t>date</w:t>
      </w:r>
      <w:r w:rsidR="00750B17">
        <w:rPr>
          <w:rFonts w:ascii="Courier New" w:hAnsi="Courier New"/>
        </w:rPr>
        <w:t>,</w:t>
      </w:r>
      <w:r>
        <w:rPr>
          <w:rFonts w:ascii="Courier New" w:hAnsi="Courier New"/>
        </w:rPr>
        <w:t xml:space="preserve"> if it finds it to be in the interest of justice to consider the application.  The board is empowered to deny an application without a hearing if it determines that there is insufficient evidence to indicate the existence of probable material error or injustice to the applicant.</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3.  No application will be considered by the board until the applicant has exhausted all other effective administrative remedies afforded by existing law or regulation, and such other legal remedies as the board shall determine are practical and appropriately available to the applicant.</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4.  An application to the board for the correction of a record shall not operate as a stay of any proceedings being taken with respect to the person involved.</w:t>
      </w:r>
    </w:p>
    <w:p w:rsidR="00061E8B" w:rsidRDefault="00061E8B" w:rsidP="00061E8B">
      <w:pPr>
        <w:pStyle w:val="DefaultText"/>
        <w:rPr>
          <w:rFonts w:ascii="Courier New" w:hAnsi="Courier New"/>
        </w:rPr>
      </w:pPr>
    </w:p>
    <w:p w:rsidR="00061E8B" w:rsidRDefault="00061E8B" w:rsidP="00750B17">
      <w:pPr>
        <w:pStyle w:val="DefaultText"/>
        <w:rPr>
          <w:rFonts w:ascii="Courier New" w:hAnsi="Courier New"/>
        </w:rPr>
      </w:pPr>
      <w:r>
        <w:rPr>
          <w:rFonts w:ascii="Courier New" w:hAnsi="Courier New"/>
        </w:rPr>
        <w:lastRenderedPageBreak/>
        <w:t>5.  The board will consider the applicant's case on the basis of all the material before it</w:t>
      </w:r>
      <w:r w:rsidR="00750B17">
        <w:rPr>
          <w:rFonts w:ascii="Courier New" w:hAnsi="Courier New"/>
        </w:rPr>
        <w:t>,</w:t>
      </w:r>
      <w:r>
        <w:rPr>
          <w:rFonts w:ascii="Courier New" w:hAnsi="Courier New"/>
        </w:rPr>
        <w:t xml:space="preserve"> including but not limited to</w:t>
      </w:r>
      <w:r w:rsidR="00750B17">
        <w:rPr>
          <w:rFonts w:ascii="Courier New" w:hAnsi="Courier New"/>
        </w:rPr>
        <w:t xml:space="preserve">: </w:t>
      </w:r>
      <w:r>
        <w:rPr>
          <w:rFonts w:ascii="Courier New" w:hAnsi="Courier New"/>
        </w:rPr>
        <w:t xml:space="preserve"> the application for correction filed by the applicant, any documentary evidence filed in support of such applications, any brief submitted by or in behalf of the applicant, and all available pertinent records in the Department of the Navy.  The applicant's service record is but one of the records which may be considered by the board.</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6.  In cases other than denied application</w:t>
      </w:r>
      <w:r w:rsidR="00750B17">
        <w:rPr>
          <w:rFonts w:ascii="Courier New" w:hAnsi="Courier New"/>
        </w:rPr>
        <w:t>s</w:t>
      </w:r>
      <w:r>
        <w:rPr>
          <w:rFonts w:ascii="Courier New" w:hAnsi="Courier New"/>
        </w:rPr>
        <w:t>, the record of proceedings of the board will be forwarded to the Secretary of the Navy</w:t>
      </w:r>
      <w:r w:rsidR="00750B17">
        <w:rPr>
          <w:rFonts w:ascii="Courier New" w:hAnsi="Courier New"/>
        </w:rPr>
        <w:t>,</w:t>
      </w:r>
      <w:r>
        <w:rPr>
          <w:rFonts w:ascii="Courier New" w:hAnsi="Courier New"/>
        </w:rPr>
        <w:t xml:space="preserve"> who will direct such actions as determined to be appropriate.</w:t>
      </w:r>
    </w:p>
    <w:p w:rsidR="00061E8B" w:rsidRDefault="00061E8B" w:rsidP="00061E8B">
      <w:pPr>
        <w:pStyle w:val="DefaultText"/>
        <w:rPr>
          <w:rFonts w:ascii="Courier New" w:hAnsi="Courier New"/>
        </w:rPr>
      </w:pPr>
    </w:p>
    <w:p w:rsidR="00061E8B" w:rsidRDefault="00061E8B" w:rsidP="00750B17">
      <w:pPr>
        <w:pStyle w:val="DefaultText"/>
        <w:rPr>
          <w:rFonts w:ascii="Courier New" w:hAnsi="Courier New"/>
        </w:rPr>
      </w:pPr>
      <w:r>
        <w:rPr>
          <w:rFonts w:ascii="Courier New" w:hAnsi="Courier New"/>
        </w:rPr>
        <w:t>7.  In connection with review of executed discharges by the Board for Correction of Naval Records, there is no law or regulation which provides that an unfavorable discharge may be changed to a more favorable discharge solely because of the expiration of a period of time after discharge during which the respondent’s behavior has been exemplary.  To permit relief, an error or an injustice must be found to have existed during the period of the enlistment in question and the respondent</w:t>
      </w:r>
      <w:r w:rsidR="00750B17">
        <w:rPr>
          <w:rFonts w:ascii="Courier New" w:hAnsi="Courier New"/>
        </w:rPr>
        <w:t>'s good conduct after discharge, in and of itself, is not sufficient to warrant changing an unfavorable discharge to a more favorable type of discharge.</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 xml:space="preserve">8. Applications for review and explanatory matter may be obtained by writing the Board for correction of Naval Records, Department of the Navy, </w:t>
      </w:r>
      <w:smartTag w:uri="urn:schemas-microsoft-com:office:smarttags" w:element="place">
        <w:smartTag w:uri="urn:schemas-microsoft-com:office:smarttags" w:element="City">
          <w:r>
            <w:rPr>
              <w:rFonts w:ascii="Courier New" w:hAnsi="Courier New"/>
            </w:rPr>
            <w:t>Washington</w:t>
          </w:r>
        </w:smartTag>
        <w:r>
          <w:rPr>
            <w:rFonts w:ascii="Courier New" w:hAnsi="Courier New"/>
          </w:rPr>
          <w:t xml:space="preserve">, </w:t>
        </w:r>
        <w:smartTag w:uri="urn:schemas-microsoft-com:office:smarttags" w:element="State">
          <w:r>
            <w:rPr>
              <w:rFonts w:ascii="Courier New" w:hAnsi="Courier New"/>
            </w:rPr>
            <w:t>D.C.</w:t>
          </w:r>
        </w:smartTag>
        <w:r>
          <w:rPr>
            <w:rFonts w:ascii="Courier New" w:hAnsi="Courier New"/>
          </w:rPr>
          <w:t xml:space="preserve"> </w:t>
        </w:r>
        <w:smartTag w:uri="urn:schemas-microsoft-com:office:smarttags" w:element="PostalCode">
          <w:r>
            <w:rPr>
              <w:rFonts w:ascii="Courier New" w:hAnsi="Courier New"/>
            </w:rPr>
            <w:t>20370-5100</w:t>
          </w:r>
        </w:smartTag>
      </w:smartTag>
      <w:r>
        <w:rPr>
          <w:rFonts w:ascii="Courier New" w:hAnsi="Courier New"/>
        </w:rPr>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p>
    <w:p w:rsidR="00061E8B" w:rsidRDefault="00061E8B" w:rsidP="00061E8B">
      <w:pPr>
        <w:pStyle w:val="DefaultText"/>
        <w:rPr>
          <w:rFonts w:ascii="Courier New" w:hAnsi="Courier New"/>
        </w:rPr>
      </w:pPr>
    </w:p>
    <w:p w:rsidR="00061E8B" w:rsidRDefault="00061E8B" w:rsidP="00622716">
      <w:pPr>
        <w:pStyle w:val="DefaultText"/>
        <w:rPr>
          <w:rFonts w:ascii="Courier New" w:hAnsi="Courier New"/>
        </w:rPr>
      </w:pPr>
      <w:r>
        <w:rPr>
          <w:rFonts w:ascii="Courier New" w:hAnsi="Courier New"/>
        </w:rPr>
        <w:t xml:space="preserve">1.  </w:t>
      </w:r>
      <w:r>
        <w:rPr>
          <w:rFonts w:ascii="Courier New" w:hAnsi="Courier New"/>
          <w:b/>
          <w:u w:val="single"/>
        </w:rPr>
        <w:t>The Naval Discharge Review Board (NDRB)</w:t>
      </w:r>
      <w:r>
        <w:rPr>
          <w:rFonts w:ascii="Courier New" w:hAnsi="Courier New"/>
        </w:rPr>
        <w:t xml:space="preserve"> consisting of five members, was established pursuant to Title 10, U.S. Code Section 1553, to review, on its own motion</w:t>
      </w:r>
      <w:r w:rsidR="00622716">
        <w:rPr>
          <w:rFonts w:ascii="Courier New" w:hAnsi="Courier New"/>
        </w:rPr>
        <w:t>;</w:t>
      </w:r>
      <w:r>
        <w:rPr>
          <w:rFonts w:ascii="Courier New" w:hAnsi="Courier New"/>
        </w:rPr>
        <w:t xml:space="preserve"> or upon the request of any former member of the Navy or Marine Corps</w:t>
      </w:r>
      <w:r w:rsidR="00622716">
        <w:rPr>
          <w:rFonts w:ascii="Courier New" w:hAnsi="Courier New"/>
        </w:rPr>
        <w:t>;</w:t>
      </w:r>
      <w:r>
        <w:rPr>
          <w:rFonts w:ascii="Courier New" w:hAnsi="Courier New"/>
        </w:rPr>
        <w:t xml:space="preserve"> or in the case of a deceased member of the Navy or Marine Corps, upon the request of the surviving spouse, next of kin, or legal representative, or if incompetent by the member's guardian; the type and nature of final discharge to determine whether or not, under reasonable standards of Naval law and discipline, the type and nature of the discharge should be changed, corrected</w:t>
      </w:r>
      <w:r w:rsidR="00622716">
        <w:rPr>
          <w:rFonts w:ascii="Courier New" w:hAnsi="Courier New"/>
        </w:rPr>
        <w:t>,</w:t>
      </w:r>
      <w:r>
        <w:rPr>
          <w:rFonts w:ascii="Courier New" w:hAnsi="Courier New"/>
        </w:rPr>
        <w:t xml:space="preserve"> or modified, and if so, to decide what modification should be made.  The board may also issue a new discharge in accord with facts presented to it.</w:t>
      </w:r>
    </w:p>
    <w:p w:rsidR="00061E8B" w:rsidRDefault="00061E8B" w:rsidP="00061E8B">
      <w:pPr>
        <w:pStyle w:val="DefaultText"/>
        <w:rPr>
          <w:rFonts w:ascii="Courier New" w:hAnsi="Courier New"/>
        </w:rPr>
      </w:pPr>
    </w:p>
    <w:p w:rsidR="00061E8B" w:rsidRDefault="00061E8B" w:rsidP="00622716">
      <w:pPr>
        <w:pStyle w:val="DefaultText"/>
        <w:rPr>
          <w:rFonts w:ascii="Courier New" w:hAnsi="Courier New"/>
        </w:rPr>
      </w:pPr>
      <w:r>
        <w:rPr>
          <w:rFonts w:ascii="Courier New" w:hAnsi="Courier New"/>
        </w:rPr>
        <w:t xml:space="preserve">2.  The NDRB may review all final separations from the naval service, irrespective of the manner evidenced or brought about, except a discharge awarded by a general court-martial, or a </w:t>
      </w:r>
      <w:r>
        <w:rPr>
          <w:rFonts w:ascii="Courier New" w:hAnsi="Courier New"/>
        </w:rPr>
        <w:lastRenderedPageBreak/>
        <w:t>discharge executed more than 15 years before the date of the review application.  Such review is based on all available records of the Department of the Navy pertaining to the former member and such evidence as may be presented o</w:t>
      </w:r>
      <w:r w:rsidR="00622716">
        <w:rPr>
          <w:rFonts w:ascii="Courier New" w:hAnsi="Courier New"/>
        </w:rPr>
        <w:t>r</w:t>
      </w:r>
      <w:r>
        <w:rPr>
          <w:rFonts w:ascii="Courier New" w:hAnsi="Courier New"/>
        </w:rPr>
        <w:t xml:space="preserve"> obtained by the board.</w:t>
      </w:r>
    </w:p>
    <w:p w:rsidR="00061E8B" w:rsidRDefault="00061E8B" w:rsidP="00061E8B">
      <w:pPr>
        <w:pStyle w:val="DefaultText"/>
        <w:rPr>
          <w:rFonts w:ascii="Courier New" w:hAnsi="Courier New"/>
        </w:rPr>
      </w:pPr>
    </w:p>
    <w:p w:rsidR="00061E8B" w:rsidRDefault="00061E8B" w:rsidP="00622716">
      <w:pPr>
        <w:pStyle w:val="DefaultText"/>
        <w:rPr>
          <w:rFonts w:ascii="Courier New" w:hAnsi="Courier New"/>
        </w:rPr>
      </w:pPr>
      <w:r>
        <w:rPr>
          <w:rFonts w:ascii="Courier New" w:hAnsi="Courier New"/>
        </w:rPr>
        <w:t>3.  NDRB has no authority to revoke any discharge; nor to reinstate any person in the military service subsequent to discharge; nor to recall any person to active duty; nor to waive prior disqualifying discharges to permit enlistment in the naval service or any other branch of the Armed Forces; nor to cancel enlistment contracts; nor to change the reason for discharge from or to physical disability; nor to determine eligibility for veterans benefits.</w:t>
      </w:r>
    </w:p>
    <w:p w:rsidR="00061E8B" w:rsidRDefault="00061E8B" w:rsidP="00061E8B">
      <w:pPr>
        <w:pStyle w:val="DefaultText"/>
        <w:rPr>
          <w:rFonts w:ascii="Courier New" w:hAnsi="Courier New"/>
        </w:rPr>
      </w:pPr>
    </w:p>
    <w:p w:rsidR="00061E8B" w:rsidRDefault="00061E8B" w:rsidP="00946D39">
      <w:pPr>
        <w:pStyle w:val="DefaultText"/>
        <w:rPr>
          <w:rFonts w:ascii="Courier New" w:hAnsi="Courier New"/>
        </w:rPr>
      </w:pPr>
      <w:r>
        <w:rPr>
          <w:rFonts w:ascii="Courier New" w:hAnsi="Courier New"/>
        </w:rPr>
        <w:t xml:space="preserve">4.  Relevant and material facts germane to the former member concerned found by a general or special court-martial, or by a court of inquiry or board </w:t>
      </w:r>
      <w:r w:rsidR="00946D39">
        <w:rPr>
          <w:rFonts w:ascii="Courier New" w:hAnsi="Courier New"/>
        </w:rPr>
        <w:t>of</w:t>
      </w:r>
      <w:r>
        <w:rPr>
          <w:rFonts w:ascii="Courier New" w:hAnsi="Courier New"/>
        </w:rPr>
        <w:t xml:space="preserve"> investigation where the former member was in the status of a defendant or an interested party, as approved by the reviewing authorities, shall be accepted by the board as established facts in the absence of manifest error or unusual circumstances clearly justifying a different conclusion.  Relevant and material facts stated in a specification to which the former member elected to request discharge for the good of the service, shall be accepted </w:t>
      </w:r>
      <w:r w:rsidR="00946D39">
        <w:rPr>
          <w:rFonts w:ascii="Courier New" w:hAnsi="Courier New"/>
        </w:rPr>
        <w:t xml:space="preserve">by </w:t>
      </w:r>
      <w:r>
        <w:rPr>
          <w:rFonts w:ascii="Courier New" w:hAnsi="Courier New"/>
        </w:rPr>
        <w:t>the board as established facts in the absence of manifest error or unusual circumstances clearly justifying a different conclusion, or unless the former member shall show to the board's satisfaction, or it shall otherwise appear, that arbitrary or coercive action was taken against the member at the time, which action was not apparent to the reviewing authority fr</w:t>
      </w:r>
      <w:r w:rsidR="00946D39">
        <w:rPr>
          <w:rFonts w:ascii="Courier New" w:hAnsi="Courier New"/>
        </w:rPr>
        <w:t>om</w:t>
      </w:r>
      <w:r>
        <w:rPr>
          <w:rFonts w:ascii="Courier New" w:hAnsi="Courier New"/>
        </w:rPr>
        <w:t xml:space="preserve"> the face of the record.</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5.  The evidence before the board which may be considered in connection with a particular discharge document will normally be restricted to that which is relevant and material to the former member's particular term of Marine Corps service or during that term of Marine Corps service, or at the time of separation.</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 xml:space="preserve">6.  To warrant a change, correction, or modification of the original document evidencing separation from the Marine Corps, the former member concerned must show to the satisfaction of the board, or it must otherwise satisfactorily appear, that the original document was improperly or inequitably issued under standards of naval law and discipline existing at the time of the former member's original separation, or </w:t>
      </w:r>
      <w:r w:rsidR="00946D39">
        <w:rPr>
          <w:rFonts w:ascii="Courier New" w:hAnsi="Courier New"/>
        </w:rPr>
        <w:t xml:space="preserve">under such standards differing therefrom in the former member’s favor which </w:t>
      </w:r>
      <w:r>
        <w:rPr>
          <w:rFonts w:ascii="Courier New" w:hAnsi="Courier New"/>
        </w:rPr>
        <w:t>subsequent to separation, were made expressly retroactive to separation of the type and character had by the former member.</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 xml:space="preserve">7.  In connection with review of executed discharges by the NDRB, there is no </w:t>
      </w:r>
      <w:r w:rsidR="008206B2">
        <w:rPr>
          <w:rFonts w:ascii="Courier New" w:hAnsi="Courier New"/>
        </w:rPr>
        <w:t>law or regulation which provides</w:t>
      </w:r>
      <w:r>
        <w:rPr>
          <w:rFonts w:ascii="Courier New" w:hAnsi="Courier New"/>
        </w:rPr>
        <w:t xml:space="preserve"> that an unfavorable discharge may </w:t>
      </w:r>
      <w:r w:rsidR="008206B2">
        <w:rPr>
          <w:rFonts w:ascii="Courier New" w:hAnsi="Courier New"/>
        </w:rPr>
        <w:t xml:space="preserve">be changed </w:t>
      </w:r>
      <w:r>
        <w:rPr>
          <w:rFonts w:ascii="Courier New" w:hAnsi="Courier New"/>
        </w:rPr>
        <w:t xml:space="preserve">to a more favorable discharge solely because of the expiration of a period of </w:t>
      </w:r>
      <w:r w:rsidR="008206B2">
        <w:rPr>
          <w:rFonts w:ascii="Courier New" w:hAnsi="Courier New"/>
        </w:rPr>
        <w:t xml:space="preserve">time after discharge during which the respondent’s behavior has been </w:t>
      </w:r>
      <w:r>
        <w:rPr>
          <w:rFonts w:ascii="Courier New" w:hAnsi="Courier New"/>
        </w:rPr>
        <w:t>exemplary.  To permit relief an error or injustice must b</w:t>
      </w:r>
      <w:r w:rsidR="008206B2">
        <w:rPr>
          <w:rFonts w:ascii="Courier New" w:hAnsi="Courier New"/>
        </w:rPr>
        <w:t>e</w:t>
      </w:r>
      <w:r>
        <w:rPr>
          <w:rFonts w:ascii="Courier New" w:hAnsi="Courier New"/>
        </w:rPr>
        <w:t xml:space="preserve"> found to have existed during the period of the enlistment in question and the respondent's good conduct after discharge, in and of itself, is not sufficient to warrant changing an unfavorable discharge.</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 xml:space="preserve">8.  Application for review and general information may be obtained by writing to the Naval Discharge Review Board, Department of the Navy, </w:t>
      </w:r>
      <w:smartTag w:uri="urn:schemas-microsoft-com:office:smarttags" w:element="place">
        <w:smartTag w:uri="urn:schemas-microsoft-com:office:smarttags" w:element="City">
          <w:r>
            <w:rPr>
              <w:rFonts w:ascii="Courier New" w:hAnsi="Courier New"/>
            </w:rPr>
            <w:t>Washington</w:t>
          </w:r>
        </w:smartTag>
        <w:r>
          <w:rPr>
            <w:rFonts w:ascii="Courier New" w:hAnsi="Courier New"/>
          </w:rPr>
          <w:t xml:space="preserve">, </w:t>
        </w:r>
        <w:smartTag w:uri="urn:schemas-microsoft-com:office:smarttags" w:element="State">
          <w:r>
            <w:rPr>
              <w:rFonts w:ascii="Courier New" w:hAnsi="Courier New"/>
            </w:rPr>
            <w:t>D.C.</w:t>
          </w:r>
        </w:smartTag>
        <w:r>
          <w:rPr>
            <w:rFonts w:ascii="Courier New" w:hAnsi="Courier New"/>
          </w:rPr>
          <w:t xml:space="preserve"> </w:t>
        </w:r>
        <w:smartTag w:uri="urn:schemas-microsoft-com:office:smarttags" w:element="PostalCode">
          <w:r>
            <w:rPr>
              <w:rFonts w:ascii="Courier New" w:hAnsi="Courier New"/>
            </w:rPr>
            <w:t>20370-1989</w:t>
          </w:r>
        </w:smartTag>
      </w:smartTag>
      <w:r>
        <w:rPr>
          <w:rFonts w:ascii="Courier New" w:hAnsi="Courier New"/>
        </w:rPr>
        <w:t>.</w:t>
      </w:r>
    </w:p>
    <w:p w:rsidR="00061E8B" w:rsidRDefault="00061E8B" w:rsidP="00061E8B">
      <w:pPr>
        <w:pStyle w:val="DefaultText"/>
        <w:jc w:val="center"/>
        <w:rPr>
          <w:rFonts w:ascii="Courier New" w:hAnsi="Courier New"/>
        </w:rPr>
      </w:pPr>
    </w:p>
    <w:p w:rsidR="00061E8B" w:rsidRDefault="00061E8B" w:rsidP="00061E8B">
      <w:pPr>
        <w:pStyle w:val="DefaultText"/>
        <w:jc w:val="center"/>
        <w:rPr>
          <w:rFonts w:ascii="Courier New" w:hAnsi="Courier New"/>
        </w:rPr>
      </w:pPr>
      <w:r>
        <w:rPr>
          <w:rFonts w:ascii="Courier New" w:hAnsi="Courier New"/>
        </w:rPr>
        <w:t xml:space="preserve">        </w:t>
      </w:r>
      <w:r>
        <w:rPr>
          <w:rFonts w:ascii="Courier New" w:hAnsi="Courier New"/>
          <w:b/>
        </w:rPr>
        <w:t>STATEMENT OF THE INDIVIDUAL</w:t>
      </w:r>
    </w:p>
    <w:p w:rsidR="00061E8B" w:rsidRDefault="00061E8B" w:rsidP="00061E8B">
      <w:pPr>
        <w:pStyle w:val="DefaultText"/>
        <w:rPr>
          <w:rFonts w:ascii="Courier New" w:hAnsi="Courier New"/>
        </w:rPr>
      </w:pPr>
    </w:p>
    <w:p w:rsidR="00061E8B" w:rsidRDefault="00061E8B" w:rsidP="00061E8B">
      <w:pPr>
        <w:pStyle w:val="DefaultText"/>
        <w:rPr>
          <w:rFonts w:ascii="Courier New" w:hAnsi="Courier New"/>
        </w:rPr>
      </w:pPr>
      <w:r>
        <w:rPr>
          <w:rFonts w:ascii="Courier New" w:hAnsi="Courier New"/>
        </w:rPr>
        <w:t>I have been advised of the purpose and procedure for making application to the Board for Correction of Naval Records and the Naval Discharge Review Board.</w:t>
      </w:r>
    </w:p>
    <w:p w:rsidR="00061E8B" w:rsidRDefault="00061E8B" w:rsidP="00061E8B">
      <w:pPr>
        <w:pStyle w:val="DefaultText"/>
        <w:rPr>
          <w:rFonts w:ascii="Courier New" w:hAnsi="Courier New"/>
        </w:rPr>
      </w:pPr>
    </w:p>
    <w:p w:rsidR="00061E8B" w:rsidRDefault="00061E8B" w:rsidP="002A66C3">
      <w:pPr>
        <w:pStyle w:val="DefaultText"/>
        <w:rPr>
          <w:rFonts w:ascii="Courier New" w:hAnsi="Courier New"/>
        </w:rPr>
      </w:pPr>
      <w:r>
        <w:rPr>
          <w:rFonts w:ascii="Courier New" w:hAnsi="Courier New"/>
        </w:rPr>
        <w:t>I have also been advised that a discharge under other than honorable conditions resulting from a period of continuous unauthorized absence of 180 days or more is a conditional bar to benefits administered by the Veterans Administration notwithstanding any action by the Naval Discharge Review Board.</w:t>
      </w:r>
    </w:p>
    <w:p w:rsidR="00061E8B" w:rsidRDefault="00061E8B" w:rsidP="00061E8B">
      <w:pPr>
        <w:pStyle w:val="DefaultText"/>
        <w:tabs>
          <w:tab w:val="left" w:pos="5760"/>
        </w:tabs>
        <w:rPr>
          <w:rFonts w:ascii="Courier New" w:hAnsi="Courier New"/>
          <w:u w:val="single"/>
        </w:rPr>
      </w:pPr>
    </w:p>
    <w:p w:rsidR="00061E8B" w:rsidRDefault="00061E8B" w:rsidP="00061E8B">
      <w:pPr>
        <w:pStyle w:val="DefaultText"/>
        <w:tabs>
          <w:tab w:val="left" w:pos="5760"/>
        </w:tabs>
        <w:rPr>
          <w:rFonts w:ascii="Courier New" w:hAnsi="Courier New"/>
          <w:u w:val="single"/>
        </w:rPr>
      </w:pPr>
    </w:p>
    <w:p w:rsidR="00061E8B" w:rsidRDefault="00061E8B" w:rsidP="00061E8B">
      <w:pPr>
        <w:pStyle w:val="DefaultText"/>
        <w:tabs>
          <w:tab w:val="left" w:pos="5760"/>
        </w:tabs>
        <w:rPr>
          <w:rFonts w:ascii="Courier New" w:hAnsi="Courier New"/>
          <w:u w:val="single"/>
        </w:rPr>
      </w:pPr>
    </w:p>
    <w:p w:rsidR="00061E8B" w:rsidRDefault="00061E8B" w:rsidP="00061E8B">
      <w:pPr>
        <w:pStyle w:val="DefaultText"/>
        <w:tabs>
          <w:tab w:val="left" w:pos="5760"/>
        </w:tabs>
        <w:rPr>
          <w:rFonts w:ascii="Courier New" w:hAnsi="Courier New"/>
        </w:rPr>
      </w:pPr>
      <w:r>
        <w:rPr>
          <w:rFonts w:ascii="Courier New" w:hAnsi="Courier New"/>
        </w:rPr>
        <w:t>___________________</w:t>
      </w:r>
      <w:r>
        <w:rPr>
          <w:rFonts w:ascii="Courier New" w:hAnsi="Courier New"/>
        </w:rPr>
        <w:tab/>
        <w:t>______________________</w:t>
      </w:r>
      <w:r>
        <w:rPr>
          <w:rFonts w:ascii="Courier New" w:hAnsi="Courier New"/>
          <w:u w:val="single"/>
        </w:rPr>
        <w:t xml:space="preserve"> </w:t>
      </w:r>
    </w:p>
    <w:p w:rsidR="00061E8B" w:rsidRDefault="00061E8B" w:rsidP="00061E8B">
      <w:pPr>
        <w:pStyle w:val="DefaultText"/>
        <w:tabs>
          <w:tab w:val="left" w:pos="5760"/>
        </w:tabs>
      </w:pPr>
      <w:r>
        <w:rPr>
          <w:rFonts w:ascii="Courier New" w:hAnsi="Courier New"/>
        </w:rPr>
        <w:t xml:space="preserve">Witness        Date              </w:t>
      </w:r>
      <w:r>
        <w:rPr>
          <w:rFonts w:ascii="Courier New" w:hAnsi="Courier New"/>
        </w:rPr>
        <w:tab/>
        <w:t>Respondent        Date</w:t>
      </w:r>
    </w:p>
    <w:p w:rsidR="00FA4891" w:rsidRPr="00061E8B" w:rsidRDefault="00FA4891" w:rsidP="00061E8B"/>
    <w:sectPr w:rsidR="00FA4891" w:rsidRPr="00061E8B" w:rsidSect="00061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B85"/>
    <w:multiLevelType w:val="hybridMultilevel"/>
    <w:tmpl w:val="5C8283D8"/>
    <w:lvl w:ilvl="0" w:tplc="E550BC6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9D"/>
    <w:rsid w:val="0000538E"/>
    <w:rsid w:val="00061E8B"/>
    <w:rsid w:val="0007741E"/>
    <w:rsid w:val="002A66C3"/>
    <w:rsid w:val="00396998"/>
    <w:rsid w:val="00622716"/>
    <w:rsid w:val="006359D6"/>
    <w:rsid w:val="00652143"/>
    <w:rsid w:val="00750B17"/>
    <w:rsid w:val="00765A40"/>
    <w:rsid w:val="008206B2"/>
    <w:rsid w:val="00946D39"/>
    <w:rsid w:val="00A0134E"/>
    <w:rsid w:val="00A542CB"/>
    <w:rsid w:val="00B57E9D"/>
    <w:rsid w:val="00EC22F7"/>
    <w:rsid w:val="00F43BCE"/>
    <w:rsid w:val="00FA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E9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57E9D"/>
    <w:rPr>
      <w:rFonts w:eastAsia="Times New Roman"/>
      <w:szCs w:val="20"/>
      <w:lang w:eastAsia="en-US"/>
    </w:rPr>
  </w:style>
  <w:style w:type="paragraph" w:styleId="BodyText">
    <w:name w:val="Body Text"/>
    <w:basedOn w:val="Normal"/>
    <w:rsid w:val="00B57E9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E9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57E9D"/>
    <w:rPr>
      <w:rFonts w:eastAsia="Times New Roman"/>
      <w:szCs w:val="20"/>
      <w:lang w:eastAsia="en-US"/>
    </w:rPr>
  </w:style>
  <w:style w:type="paragraph" w:styleId="BodyText">
    <w:name w:val="Body Text"/>
    <w:basedOn w:val="Normal"/>
    <w:rsid w:val="00B57E9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A6900C564B044BB515371C397B900" ma:contentTypeVersion="1" ma:contentTypeDescription="Create a new document." ma:contentTypeScope="" ma:versionID="f28101405462118540021eb17dfb6cee">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44A9CC-AF4E-4B51-A860-DCA1C8184696}">
  <ds:schemaRefs>
    <ds:schemaRef ds:uri="http://schemas.microsoft.com/sharepoint/v3/contenttype/forms"/>
  </ds:schemaRefs>
</ds:datastoreItem>
</file>

<file path=customXml/itemProps2.xml><?xml version="1.0" encoding="utf-8"?>
<ds:datastoreItem xmlns:ds="http://schemas.openxmlformats.org/officeDocument/2006/customXml" ds:itemID="{A829C6F1-BCF3-45CC-B16F-6E9096BBD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6C271C7-32C7-434D-B1E9-1CECC02A69EF}">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NMCI</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bahman.farsaad-iraji</dc:creator>
  <cp:lastModifiedBy>LCampbell</cp:lastModifiedBy>
  <cp:revision>2</cp:revision>
  <dcterms:created xsi:type="dcterms:W3CDTF">2012-02-22T20:09:00Z</dcterms:created>
  <dcterms:modified xsi:type="dcterms:W3CDTF">2012-02-22T20:09:00Z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0x010100D94A6900C564B044BB515371C397B900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