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2C7B" w:rsidRPr="00822C7B" w:rsidRDefault="00822C7B" w:rsidP="00822C7B">
      <w:pPr>
        <w:pStyle w:val="BodyText"/>
        <w:rPr>
          <w:rFonts w:ascii="Verdana" w:hAnsi="Verdana"/>
          <w:b/>
          <w:bCs/>
          <w:i/>
          <w:iCs/>
          <w:sz w:val="22"/>
          <w:szCs w:val="22"/>
        </w:rPr>
      </w:pPr>
      <w:r w:rsidRPr="00822C7B">
        <w:rPr>
          <w:rFonts w:ascii="Verdana" w:hAnsi="Verdana"/>
          <w:b/>
          <w:bCs/>
          <w:i/>
          <w:iCs/>
          <w:sz w:val="22"/>
          <w:szCs w:val="22"/>
        </w:rPr>
        <w:t>UNSATISFACTORY PERFORMANCE - 6206</w:t>
      </w:r>
    </w:p>
    <w:p w:rsidR="00822C7B" w:rsidRPr="00822C7B" w:rsidRDefault="00822C7B" w:rsidP="00822C7B">
      <w:pPr>
        <w:pStyle w:val="BodyText"/>
        <w:rPr>
          <w:rFonts w:ascii="Verdana" w:hAnsi="Verdana"/>
          <w:sz w:val="22"/>
          <w:szCs w:val="22"/>
        </w:rPr>
      </w:pPr>
      <w:r w:rsidRPr="00822C7B">
        <w:rPr>
          <w:rFonts w:ascii="Verdana" w:hAnsi="Verdana"/>
          <w:sz w:val="22"/>
          <w:szCs w:val="22"/>
        </w:rPr>
        <w:t>A Marine may be separated when the performance of duties does not contribute to unit readiness and or mission accomplishment or when the member does not maintain required proficiency in grade, as demonstrated by the member’s proficiency and conduct marks</w:t>
      </w:r>
      <w:r w:rsidR="00FD25E3">
        <w:rPr>
          <w:rFonts w:ascii="Verdana" w:hAnsi="Verdana"/>
          <w:sz w:val="22"/>
          <w:szCs w:val="22"/>
        </w:rPr>
        <w:t xml:space="preserve">, failure to conform to weight standards, </w:t>
      </w:r>
      <w:r w:rsidRPr="00822C7B">
        <w:rPr>
          <w:rFonts w:ascii="Verdana" w:hAnsi="Verdana"/>
          <w:sz w:val="22"/>
          <w:szCs w:val="22"/>
        </w:rPr>
        <w:t xml:space="preserve">or </w:t>
      </w:r>
      <w:r w:rsidR="00FD25E3">
        <w:rPr>
          <w:rFonts w:ascii="Verdana" w:hAnsi="Verdana"/>
          <w:sz w:val="22"/>
          <w:szCs w:val="22"/>
        </w:rPr>
        <w:t xml:space="preserve">adverse </w:t>
      </w:r>
      <w:r w:rsidRPr="00822C7B">
        <w:rPr>
          <w:rFonts w:ascii="Verdana" w:hAnsi="Verdana"/>
          <w:sz w:val="22"/>
          <w:szCs w:val="22"/>
        </w:rPr>
        <w:t xml:space="preserve">fitness reports.  Separation may not be initiated until the Marine </w:t>
      </w:r>
      <w:r w:rsidRPr="006C026F">
        <w:rPr>
          <w:rFonts w:ascii="Verdana" w:hAnsi="Verdana"/>
          <w:sz w:val="22"/>
          <w:szCs w:val="22"/>
          <w:u w:val="single"/>
        </w:rPr>
        <w:t>has been counseled per 6105</w:t>
      </w:r>
      <w:r w:rsidRPr="00822C7B">
        <w:rPr>
          <w:rFonts w:ascii="Verdana" w:hAnsi="Verdana"/>
          <w:sz w:val="22"/>
          <w:szCs w:val="22"/>
        </w:rPr>
        <w:t xml:space="preserve"> and afforded an opportunity to correct the deficiency.</w:t>
      </w:r>
    </w:p>
    <w:p w:rsidR="00966871" w:rsidRPr="009100AE" w:rsidRDefault="00966871" w:rsidP="00966871">
      <w:pPr>
        <w:rPr>
          <w:rFonts w:ascii="Verdana" w:hAnsi="Verdana"/>
          <w:sz w:val="22"/>
          <w:szCs w:val="22"/>
        </w:rPr>
      </w:pPr>
    </w:p>
    <w:p w:rsidR="00966871" w:rsidRPr="009100AE" w:rsidRDefault="00966871" w:rsidP="00966871">
      <w:pPr>
        <w:pStyle w:val="BodyText"/>
        <w:rPr>
          <w:rFonts w:ascii="Verdana" w:hAnsi="Verdana"/>
          <w:sz w:val="22"/>
          <w:szCs w:val="22"/>
          <w:u w:val="single"/>
        </w:rPr>
      </w:pPr>
      <w:r w:rsidRPr="009100AE">
        <w:rPr>
          <w:rFonts w:ascii="Verdana" w:hAnsi="Verdana"/>
          <w:sz w:val="22"/>
          <w:szCs w:val="22"/>
          <w:u w:val="single"/>
        </w:rPr>
        <w:t>Checklist</w:t>
      </w:r>
    </w:p>
    <w:p w:rsidR="00966871" w:rsidRPr="009100AE" w:rsidRDefault="00966871" w:rsidP="00966871">
      <w:pPr>
        <w:numPr>
          <w:ilvl w:val="0"/>
          <w:numId w:val="1"/>
        </w:numPr>
        <w:tabs>
          <w:tab w:val="left" w:pos="1260"/>
        </w:tabs>
        <w:rPr>
          <w:rFonts w:ascii="Verdana" w:hAnsi="Verdana"/>
          <w:sz w:val="22"/>
          <w:szCs w:val="22"/>
        </w:rPr>
      </w:pPr>
      <w:r w:rsidRPr="009100AE">
        <w:rPr>
          <w:rFonts w:ascii="Verdana" w:hAnsi="Verdana"/>
          <w:sz w:val="22"/>
          <w:szCs w:val="22"/>
        </w:rPr>
        <w:t>CO’s letter recommending separation with the following Enclosures:</w:t>
      </w:r>
    </w:p>
    <w:p w:rsidR="00966871" w:rsidRPr="009100AE" w:rsidRDefault="00966871" w:rsidP="00966871">
      <w:pPr>
        <w:numPr>
          <w:ilvl w:val="0"/>
          <w:numId w:val="1"/>
        </w:numPr>
        <w:tabs>
          <w:tab w:val="left" w:pos="1260"/>
        </w:tabs>
        <w:rPr>
          <w:rFonts w:ascii="Verdana" w:hAnsi="Verdana"/>
          <w:sz w:val="22"/>
          <w:szCs w:val="22"/>
        </w:rPr>
      </w:pPr>
      <w:r w:rsidRPr="009100AE">
        <w:rPr>
          <w:rFonts w:ascii="Verdana" w:hAnsi="Verdana"/>
          <w:sz w:val="22"/>
          <w:szCs w:val="22"/>
        </w:rPr>
        <w:t>1- Notification of Separation Proceedings</w:t>
      </w:r>
    </w:p>
    <w:p w:rsidR="00966871" w:rsidRPr="009100AE" w:rsidRDefault="00966871" w:rsidP="00966871">
      <w:pPr>
        <w:numPr>
          <w:ilvl w:val="1"/>
          <w:numId w:val="1"/>
        </w:numPr>
        <w:tabs>
          <w:tab w:val="left" w:pos="1260"/>
        </w:tabs>
        <w:rPr>
          <w:rFonts w:ascii="Verdana" w:hAnsi="Verdana"/>
          <w:sz w:val="22"/>
          <w:szCs w:val="22"/>
        </w:rPr>
      </w:pPr>
      <w:r w:rsidRPr="009100AE">
        <w:rPr>
          <w:rFonts w:ascii="Verdana" w:hAnsi="Verdana"/>
          <w:sz w:val="22"/>
          <w:szCs w:val="22"/>
        </w:rPr>
        <w:t>BCNR/NDRB form (MARCORSEPMAN Appendix D)</w:t>
      </w:r>
    </w:p>
    <w:p w:rsidR="00966871" w:rsidRPr="009100AE" w:rsidRDefault="00966871" w:rsidP="00966871">
      <w:pPr>
        <w:numPr>
          <w:ilvl w:val="1"/>
          <w:numId w:val="1"/>
        </w:numPr>
        <w:tabs>
          <w:tab w:val="left" w:pos="1260"/>
        </w:tabs>
        <w:rPr>
          <w:rFonts w:ascii="Verdana" w:hAnsi="Verdana"/>
          <w:sz w:val="22"/>
          <w:szCs w:val="22"/>
        </w:rPr>
      </w:pPr>
      <w:r w:rsidRPr="009100AE">
        <w:rPr>
          <w:rFonts w:ascii="Verdana" w:hAnsi="Verdana"/>
          <w:sz w:val="22"/>
          <w:szCs w:val="22"/>
        </w:rPr>
        <w:t>Acknowledgement of Rights to be Exercised or Waived</w:t>
      </w:r>
    </w:p>
    <w:p w:rsidR="00966871" w:rsidRPr="009100AE" w:rsidRDefault="00966871" w:rsidP="00966871">
      <w:pPr>
        <w:numPr>
          <w:ilvl w:val="0"/>
          <w:numId w:val="1"/>
        </w:numPr>
        <w:tabs>
          <w:tab w:val="left" w:pos="1260"/>
        </w:tabs>
        <w:rPr>
          <w:rFonts w:ascii="Verdana" w:hAnsi="Verdana"/>
          <w:sz w:val="22"/>
          <w:szCs w:val="22"/>
        </w:rPr>
      </w:pPr>
      <w:r w:rsidRPr="009100AE">
        <w:rPr>
          <w:rFonts w:ascii="Verdana" w:hAnsi="Verdana"/>
          <w:sz w:val="22"/>
          <w:szCs w:val="22"/>
        </w:rPr>
        <w:t>2 - Copy of Service Record Book (Right and Left side)</w:t>
      </w:r>
    </w:p>
    <w:p w:rsidR="00966871" w:rsidRPr="009100AE" w:rsidRDefault="00966871" w:rsidP="00966871">
      <w:pPr>
        <w:numPr>
          <w:ilvl w:val="2"/>
          <w:numId w:val="1"/>
        </w:numPr>
        <w:tabs>
          <w:tab w:val="left" w:pos="1260"/>
        </w:tabs>
        <w:rPr>
          <w:rFonts w:ascii="Verdana" w:hAnsi="Verdana"/>
          <w:sz w:val="22"/>
          <w:szCs w:val="22"/>
        </w:rPr>
      </w:pPr>
      <w:r w:rsidRPr="009100AE">
        <w:rPr>
          <w:rFonts w:ascii="Verdana" w:hAnsi="Verdana"/>
          <w:sz w:val="22"/>
          <w:szCs w:val="22"/>
        </w:rPr>
        <w:t>3 - 3270 printout of BIR, BTR, ROS, AWDS, D119 (under 30 days old)</w:t>
      </w:r>
    </w:p>
    <w:p w:rsidR="006C026F" w:rsidRDefault="00822C7B" w:rsidP="008012CA">
      <w:pPr>
        <w:numPr>
          <w:ilvl w:val="2"/>
          <w:numId w:val="1"/>
        </w:numPr>
        <w:tabs>
          <w:tab w:val="left" w:pos="1440"/>
        </w:tabs>
        <w:rPr>
          <w:rFonts w:ascii="Verdana" w:hAnsi="Verdana"/>
          <w:sz w:val="22"/>
          <w:szCs w:val="22"/>
        </w:rPr>
      </w:pPr>
      <w:r>
        <w:rPr>
          <w:rFonts w:ascii="Verdana" w:hAnsi="Verdana"/>
          <w:sz w:val="22"/>
          <w:szCs w:val="22"/>
        </w:rPr>
        <w:t>4 -</w:t>
      </w:r>
      <w:r w:rsidR="008012CA">
        <w:rPr>
          <w:rFonts w:ascii="Verdana" w:hAnsi="Verdana"/>
          <w:sz w:val="22"/>
          <w:szCs w:val="22"/>
        </w:rPr>
        <w:t xml:space="preserve"> </w:t>
      </w:r>
      <w:proofErr w:type="spellStart"/>
      <w:r>
        <w:rPr>
          <w:rFonts w:ascii="Verdana" w:hAnsi="Verdana"/>
          <w:sz w:val="22"/>
          <w:szCs w:val="22"/>
        </w:rPr>
        <w:t>Sqdn/BnCO’s</w:t>
      </w:r>
      <w:proofErr w:type="spellEnd"/>
      <w:r>
        <w:rPr>
          <w:rFonts w:ascii="Verdana" w:hAnsi="Verdana"/>
          <w:sz w:val="22"/>
          <w:szCs w:val="22"/>
        </w:rPr>
        <w:t xml:space="preserve"> statement, must include evidence of other administrative</w:t>
      </w:r>
    </w:p>
    <w:p w:rsidR="006C026F" w:rsidRDefault="006C026F" w:rsidP="008012CA">
      <w:pPr>
        <w:tabs>
          <w:tab w:val="left" w:pos="1440"/>
        </w:tabs>
        <w:ind w:left="720"/>
        <w:rPr>
          <w:rFonts w:ascii="Verdana" w:hAnsi="Verdana"/>
          <w:sz w:val="22"/>
          <w:szCs w:val="22"/>
        </w:rPr>
      </w:pPr>
      <w:r>
        <w:rPr>
          <w:rFonts w:ascii="Verdana" w:hAnsi="Verdana"/>
          <w:sz w:val="22"/>
          <w:szCs w:val="22"/>
        </w:rPr>
        <w:t xml:space="preserve">       </w:t>
      </w:r>
      <w:r w:rsidR="00822C7B">
        <w:rPr>
          <w:rFonts w:ascii="Verdana" w:hAnsi="Verdana"/>
          <w:sz w:val="22"/>
          <w:szCs w:val="22"/>
        </w:rPr>
        <w:t xml:space="preserve"> or disciplinary action that </w:t>
      </w:r>
      <w:r>
        <w:rPr>
          <w:rFonts w:ascii="Verdana" w:hAnsi="Verdana"/>
          <w:sz w:val="22"/>
          <w:szCs w:val="22"/>
        </w:rPr>
        <w:t xml:space="preserve">demonstrates SNM </w:t>
      </w:r>
      <w:r w:rsidR="00822C7B">
        <w:rPr>
          <w:rFonts w:ascii="Verdana" w:hAnsi="Verdana"/>
          <w:sz w:val="22"/>
          <w:szCs w:val="22"/>
        </w:rPr>
        <w:t>failed to improve</w:t>
      </w:r>
      <w:r>
        <w:rPr>
          <w:rFonts w:ascii="Verdana" w:hAnsi="Verdana"/>
          <w:sz w:val="22"/>
          <w:szCs w:val="22"/>
        </w:rPr>
        <w:t xml:space="preserve"> </w:t>
      </w:r>
    </w:p>
    <w:p w:rsidR="00822C7B" w:rsidRDefault="006C026F" w:rsidP="008012CA">
      <w:pPr>
        <w:tabs>
          <w:tab w:val="left" w:pos="1440"/>
        </w:tabs>
        <w:ind w:left="1260" w:hanging="540"/>
        <w:rPr>
          <w:rFonts w:ascii="Verdana" w:hAnsi="Verdana"/>
          <w:sz w:val="22"/>
          <w:szCs w:val="22"/>
        </w:rPr>
      </w:pPr>
      <w:r>
        <w:rPr>
          <w:rFonts w:ascii="Verdana" w:hAnsi="Verdana"/>
          <w:sz w:val="22"/>
          <w:szCs w:val="22"/>
        </w:rPr>
        <w:t xml:space="preserve">        </w:t>
      </w:r>
      <w:r w:rsidR="00822C7B">
        <w:rPr>
          <w:rFonts w:ascii="Verdana" w:hAnsi="Verdana"/>
          <w:sz w:val="22"/>
          <w:szCs w:val="22"/>
        </w:rPr>
        <w:t>performance</w:t>
      </w:r>
      <w:r w:rsidR="008012CA">
        <w:rPr>
          <w:rFonts w:ascii="Verdana" w:hAnsi="Verdana"/>
          <w:sz w:val="22"/>
          <w:szCs w:val="22"/>
        </w:rPr>
        <w:t xml:space="preserve">. </w:t>
      </w:r>
      <w:r w:rsidR="00822C7B">
        <w:rPr>
          <w:rFonts w:ascii="Verdana" w:hAnsi="Verdana"/>
          <w:sz w:val="22"/>
          <w:szCs w:val="22"/>
        </w:rPr>
        <w:t xml:space="preserve">Pro/Cons marks </w:t>
      </w:r>
      <w:r w:rsidR="00FD25E3">
        <w:rPr>
          <w:rFonts w:ascii="Verdana" w:hAnsi="Verdana"/>
          <w:sz w:val="22"/>
          <w:szCs w:val="22"/>
        </w:rPr>
        <w:t xml:space="preserve">should </w:t>
      </w:r>
      <w:r w:rsidR="00822C7B">
        <w:rPr>
          <w:rFonts w:ascii="Verdana" w:hAnsi="Verdana"/>
          <w:sz w:val="22"/>
          <w:szCs w:val="22"/>
        </w:rPr>
        <w:t xml:space="preserve">reflect </w:t>
      </w:r>
      <w:proofErr w:type="spellStart"/>
      <w:r w:rsidR="00822C7B">
        <w:rPr>
          <w:rFonts w:ascii="Verdana" w:hAnsi="Verdana"/>
          <w:sz w:val="22"/>
          <w:szCs w:val="22"/>
        </w:rPr>
        <w:t>SNM’s</w:t>
      </w:r>
      <w:proofErr w:type="spellEnd"/>
      <w:r w:rsidR="00822C7B">
        <w:rPr>
          <w:rFonts w:ascii="Verdana" w:hAnsi="Verdana"/>
          <w:sz w:val="22"/>
          <w:szCs w:val="22"/>
        </w:rPr>
        <w:t xml:space="preserve"> poor</w:t>
      </w:r>
      <w:r w:rsidR="00FD25E3">
        <w:rPr>
          <w:rFonts w:ascii="Verdana" w:hAnsi="Verdana"/>
          <w:sz w:val="22"/>
          <w:szCs w:val="22"/>
        </w:rPr>
        <w:t xml:space="preserve"> </w:t>
      </w:r>
      <w:r w:rsidR="00822C7B">
        <w:rPr>
          <w:rFonts w:ascii="Verdana" w:hAnsi="Verdana"/>
          <w:sz w:val="22"/>
          <w:szCs w:val="22"/>
        </w:rPr>
        <w:t>performance</w:t>
      </w:r>
      <w:r w:rsidR="00FD25E3">
        <w:rPr>
          <w:rFonts w:ascii="Verdana" w:hAnsi="Verdana"/>
          <w:sz w:val="22"/>
          <w:szCs w:val="22"/>
        </w:rPr>
        <w:t>.</w:t>
      </w:r>
    </w:p>
    <w:p w:rsidR="008012CA" w:rsidRDefault="00FD25E3" w:rsidP="008012CA">
      <w:pPr>
        <w:numPr>
          <w:ilvl w:val="0"/>
          <w:numId w:val="1"/>
        </w:numPr>
        <w:tabs>
          <w:tab w:val="left" w:pos="1440"/>
          <w:tab w:val="left" w:pos="1980"/>
        </w:tabs>
        <w:ind w:left="1980" w:hanging="1440"/>
        <w:rPr>
          <w:rFonts w:ascii="Verdana" w:hAnsi="Verdana"/>
          <w:sz w:val="22"/>
          <w:szCs w:val="22"/>
        </w:rPr>
      </w:pPr>
      <w:r>
        <w:rPr>
          <w:rFonts w:ascii="Verdana" w:hAnsi="Verdana"/>
          <w:sz w:val="22"/>
          <w:szCs w:val="22"/>
        </w:rPr>
        <w:t>5</w:t>
      </w:r>
      <w:r w:rsidR="00822C7B">
        <w:rPr>
          <w:rFonts w:ascii="Verdana" w:hAnsi="Verdana"/>
          <w:sz w:val="22"/>
          <w:szCs w:val="22"/>
        </w:rPr>
        <w:t xml:space="preserve"> </w:t>
      </w:r>
      <w:r w:rsidR="008012CA">
        <w:rPr>
          <w:rFonts w:ascii="Verdana" w:hAnsi="Verdana"/>
          <w:sz w:val="22"/>
          <w:szCs w:val="22"/>
        </w:rPr>
        <w:t>–</w:t>
      </w:r>
      <w:r w:rsidR="008012CA">
        <w:rPr>
          <w:rFonts w:ascii="Verdana" w:hAnsi="Verdana"/>
          <w:sz w:val="22"/>
          <w:szCs w:val="22"/>
        </w:rPr>
        <w:tab/>
        <w:t>(a)</w:t>
      </w:r>
      <w:r w:rsidR="008012CA">
        <w:rPr>
          <w:rFonts w:ascii="Verdana" w:hAnsi="Verdana"/>
          <w:sz w:val="22"/>
          <w:szCs w:val="22"/>
        </w:rPr>
        <w:tab/>
        <w:t xml:space="preserve">If based on unsanitary habits, provide supporting documentation by section counseling, logbook entries, pictures of BEQ room, </w:t>
      </w:r>
      <w:proofErr w:type="spellStart"/>
      <w:r w:rsidR="008012CA">
        <w:rPr>
          <w:rFonts w:ascii="Verdana" w:hAnsi="Verdana"/>
          <w:sz w:val="22"/>
          <w:szCs w:val="22"/>
        </w:rPr>
        <w:t>ect</w:t>
      </w:r>
      <w:proofErr w:type="spellEnd"/>
      <w:r w:rsidR="008012CA">
        <w:rPr>
          <w:rFonts w:ascii="Verdana" w:hAnsi="Verdana"/>
          <w:sz w:val="22"/>
          <w:szCs w:val="22"/>
        </w:rPr>
        <w:t>.</w:t>
      </w:r>
    </w:p>
    <w:p w:rsidR="00822C7B" w:rsidRDefault="00FD25E3" w:rsidP="008012CA">
      <w:pPr>
        <w:numPr>
          <w:ilvl w:val="0"/>
          <w:numId w:val="1"/>
        </w:numPr>
        <w:tabs>
          <w:tab w:val="left" w:pos="1440"/>
          <w:tab w:val="left" w:pos="1980"/>
        </w:tabs>
        <w:ind w:left="1980" w:hanging="1440"/>
        <w:rPr>
          <w:rFonts w:ascii="Verdana" w:hAnsi="Verdana"/>
          <w:sz w:val="22"/>
          <w:szCs w:val="22"/>
        </w:rPr>
      </w:pPr>
      <w:r>
        <w:rPr>
          <w:rFonts w:ascii="Verdana" w:hAnsi="Verdana"/>
          <w:sz w:val="22"/>
          <w:szCs w:val="22"/>
        </w:rPr>
        <w:t>5</w:t>
      </w:r>
      <w:r w:rsidR="008012CA">
        <w:rPr>
          <w:rFonts w:ascii="Verdana" w:hAnsi="Verdana"/>
          <w:sz w:val="22"/>
          <w:szCs w:val="22"/>
        </w:rPr>
        <w:t xml:space="preserve"> -</w:t>
      </w:r>
      <w:r w:rsidR="008012CA">
        <w:rPr>
          <w:rFonts w:ascii="Verdana" w:hAnsi="Verdana"/>
          <w:sz w:val="22"/>
          <w:szCs w:val="22"/>
        </w:rPr>
        <w:tab/>
        <w:t>(b)</w:t>
      </w:r>
      <w:r w:rsidR="008012CA">
        <w:rPr>
          <w:rFonts w:ascii="Verdana" w:hAnsi="Verdana"/>
          <w:sz w:val="22"/>
          <w:szCs w:val="22"/>
        </w:rPr>
        <w:tab/>
      </w:r>
      <w:r w:rsidR="00822C7B">
        <w:rPr>
          <w:rFonts w:ascii="Verdana" w:hAnsi="Verdana"/>
          <w:sz w:val="22"/>
          <w:szCs w:val="22"/>
        </w:rPr>
        <w:t>If based on unsatisfactory performance while assigned to weight control</w:t>
      </w:r>
      <w:r w:rsidR="008012CA">
        <w:rPr>
          <w:rFonts w:ascii="Verdana" w:hAnsi="Verdana"/>
          <w:sz w:val="22"/>
          <w:szCs w:val="22"/>
        </w:rPr>
        <w:t xml:space="preserve"> </w:t>
      </w:r>
      <w:r w:rsidR="00822C7B">
        <w:rPr>
          <w:rFonts w:ascii="Verdana" w:hAnsi="Verdana"/>
          <w:sz w:val="22"/>
          <w:szCs w:val="22"/>
        </w:rPr>
        <w:t>program, all additional documentation included for paragraph 6215</w:t>
      </w:r>
      <w:r w:rsidR="008012CA">
        <w:rPr>
          <w:rFonts w:ascii="Verdana" w:hAnsi="Verdana"/>
          <w:sz w:val="22"/>
          <w:szCs w:val="22"/>
        </w:rPr>
        <w:t xml:space="preserve"> (weight control failure)</w:t>
      </w:r>
    </w:p>
    <w:p w:rsidR="00966871" w:rsidRPr="009100AE" w:rsidRDefault="00FD25E3" w:rsidP="00966871">
      <w:pPr>
        <w:numPr>
          <w:ilvl w:val="0"/>
          <w:numId w:val="1"/>
        </w:numPr>
        <w:rPr>
          <w:rFonts w:ascii="Verdana" w:hAnsi="Verdana"/>
          <w:sz w:val="22"/>
          <w:szCs w:val="22"/>
        </w:rPr>
      </w:pPr>
      <w:r>
        <w:rPr>
          <w:rFonts w:ascii="Verdana" w:hAnsi="Verdana"/>
          <w:sz w:val="22"/>
          <w:szCs w:val="22"/>
        </w:rPr>
        <w:t>6</w:t>
      </w:r>
      <w:r w:rsidR="00966871" w:rsidRPr="009100AE">
        <w:rPr>
          <w:rFonts w:ascii="Verdana" w:hAnsi="Verdana"/>
          <w:sz w:val="22"/>
          <w:szCs w:val="22"/>
        </w:rPr>
        <w:t xml:space="preserve"> - Character statements with recommendations from the following:</w:t>
      </w:r>
    </w:p>
    <w:p w:rsidR="00966871" w:rsidRPr="009100AE" w:rsidRDefault="00966871" w:rsidP="00966871">
      <w:pPr>
        <w:numPr>
          <w:ilvl w:val="1"/>
          <w:numId w:val="1"/>
        </w:numPr>
        <w:rPr>
          <w:rFonts w:ascii="Verdana" w:hAnsi="Verdana"/>
          <w:sz w:val="22"/>
          <w:szCs w:val="22"/>
        </w:rPr>
      </w:pPr>
      <w:r w:rsidRPr="009100AE">
        <w:rPr>
          <w:rFonts w:ascii="Verdana" w:hAnsi="Verdana"/>
          <w:sz w:val="22"/>
          <w:szCs w:val="22"/>
        </w:rPr>
        <w:t>OIC</w:t>
      </w:r>
    </w:p>
    <w:p w:rsidR="00966871" w:rsidRPr="009100AE" w:rsidRDefault="00966871" w:rsidP="00966871">
      <w:pPr>
        <w:numPr>
          <w:ilvl w:val="1"/>
          <w:numId w:val="1"/>
        </w:numPr>
        <w:rPr>
          <w:rFonts w:ascii="Verdana" w:hAnsi="Verdana"/>
          <w:sz w:val="22"/>
          <w:szCs w:val="22"/>
        </w:rPr>
      </w:pPr>
      <w:r w:rsidRPr="009100AE">
        <w:rPr>
          <w:rFonts w:ascii="Verdana" w:hAnsi="Verdana"/>
          <w:sz w:val="22"/>
          <w:szCs w:val="22"/>
        </w:rPr>
        <w:t>SNCOIC</w:t>
      </w:r>
    </w:p>
    <w:p w:rsidR="00966871" w:rsidRDefault="003714EE" w:rsidP="00966871">
      <w:pPr>
        <w:numPr>
          <w:ilvl w:val="1"/>
          <w:numId w:val="1"/>
        </w:numPr>
        <w:rPr>
          <w:rFonts w:ascii="Verdana" w:hAnsi="Verdana"/>
          <w:sz w:val="22"/>
          <w:szCs w:val="22"/>
        </w:rPr>
      </w:pPr>
      <w:r>
        <w:rPr>
          <w:rFonts w:ascii="Verdana" w:hAnsi="Verdana"/>
          <w:sz w:val="22"/>
          <w:szCs w:val="22"/>
        </w:rPr>
        <w:t>CO’s Interview Letter</w:t>
      </w:r>
    </w:p>
    <w:p w:rsidR="003714EE" w:rsidRPr="009100AE" w:rsidRDefault="003714EE" w:rsidP="00966871">
      <w:pPr>
        <w:numPr>
          <w:ilvl w:val="1"/>
          <w:numId w:val="1"/>
        </w:numPr>
        <w:rPr>
          <w:rFonts w:ascii="Verdana" w:hAnsi="Verdana"/>
          <w:sz w:val="22"/>
          <w:szCs w:val="22"/>
        </w:rPr>
      </w:pPr>
      <w:proofErr w:type="spellStart"/>
      <w:r>
        <w:rPr>
          <w:rFonts w:ascii="Verdana" w:hAnsi="Verdana"/>
          <w:sz w:val="22"/>
          <w:szCs w:val="22"/>
        </w:rPr>
        <w:t>SgtMaj’s</w:t>
      </w:r>
      <w:proofErr w:type="spellEnd"/>
      <w:r>
        <w:rPr>
          <w:rFonts w:ascii="Verdana" w:hAnsi="Verdana"/>
          <w:sz w:val="22"/>
          <w:szCs w:val="22"/>
        </w:rPr>
        <w:t xml:space="preserve"> Interview Letter</w:t>
      </w:r>
    </w:p>
    <w:p w:rsidR="00966871" w:rsidRPr="009100AE" w:rsidRDefault="00966871" w:rsidP="00966871">
      <w:pPr>
        <w:ind w:left="1260"/>
        <w:rPr>
          <w:rFonts w:ascii="Verdana" w:hAnsi="Verdana"/>
          <w:sz w:val="22"/>
          <w:szCs w:val="22"/>
        </w:rPr>
      </w:pPr>
      <w:r w:rsidRPr="009100AE">
        <w:rPr>
          <w:rFonts w:ascii="Verdana" w:hAnsi="Verdana"/>
          <w:sz w:val="22"/>
          <w:szCs w:val="22"/>
        </w:rPr>
        <w:t>*Required by the Wing CG*</w:t>
      </w:r>
    </w:p>
    <w:p w:rsidR="00966871" w:rsidRPr="009100AE" w:rsidRDefault="00966871" w:rsidP="00966871">
      <w:pPr>
        <w:numPr>
          <w:ilvl w:val="2"/>
          <w:numId w:val="1"/>
        </w:numPr>
        <w:rPr>
          <w:rFonts w:ascii="Verdana" w:hAnsi="Verdana"/>
          <w:sz w:val="22"/>
          <w:szCs w:val="22"/>
        </w:rPr>
      </w:pPr>
      <w:r w:rsidRPr="009100AE">
        <w:rPr>
          <w:rFonts w:ascii="Verdana" w:hAnsi="Verdana"/>
          <w:sz w:val="22"/>
          <w:szCs w:val="22"/>
        </w:rPr>
        <w:t>PTSD checklist and memo</w:t>
      </w:r>
    </w:p>
    <w:p w:rsidR="00966871" w:rsidRPr="009100AE" w:rsidRDefault="00966871" w:rsidP="00966871">
      <w:pPr>
        <w:ind w:left="540"/>
        <w:rPr>
          <w:rFonts w:ascii="Verdana" w:hAnsi="Verdana"/>
          <w:sz w:val="22"/>
          <w:szCs w:val="22"/>
        </w:rPr>
      </w:pPr>
    </w:p>
    <w:p w:rsidR="00966871" w:rsidRPr="009100AE" w:rsidRDefault="00966871" w:rsidP="00966871">
      <w:pPr>
        <w:ind w:left="540"/>
        <w:rPr>
          <w:rFonts w:ascii="Verdana" w:hAnsi="Verdana"/>
          <w:sz w:val="22"/>
          <w:szCs w:val="22"/>
        </w:rPr>
      </w:pPr>
      <w:r w:rsidRPr="009100AE">
        <w:rPr>
          <w:rFonts w:ascii="Verdana" w:hAnsi="Verdana"/>
          <w:sz w:val="22"/>
          <w:szCs w:val="22"/>
        </w:rPr>
        <w:t>Note:</w:t>
      </w:r>
    </w:p>
    <w:p w:rsidR="00966871" w:rsidRPr="009100AE" w:rsidRDefault="00966871" w:rsidP="00966871">
      <w:pPr>
        <w:ind w:left="540"/>
        <w:rPr>
          <w:rFonts w:ascii="Verdana" w:hAnsi="Verdana"/>
          <w:sz w:val="22"/>
          <w:szCs w:val="22"/>
        </w:rPr>
      </w:pPr>
    </w:p>
    <w:p w:rsidR="00966871" w:rsidRPr="009100AE" w:rsidRDefault="00966871" w:rsidP="00966871">
      <w:pPr>
        <w:ind w:left="540"/>
        <w:rPr>
          <w:rFonts w:ascii="Verdana" w:hAnsi="Verdana"/>
          <w:sz w:val="22"/>
          <w:szCs w:val="22"/>
        </w:rPr>
      </w:pPr>
      <w:r w:rsidRPr="009100AE">
        <w:rPr>
          <w:rFonts w:ascii="Verdana" w:hAnsi="Verdana"/>
          <w:sz w:val="22"/>
          <w:szCs w:val="22"/>
        </w:rPr>
        <w:t>TAMP/TAP</w:t>
      </w:r>
      <w:r w:rsidR="00822C7B">
        <w:rPr>
          <w:rFonts w:ascii="Verdana" w:hAnsi="Verdana"/>
          <w:sz w:val="22"/>
          <w:szCs w:val="22"/>
        </w:rPr>
        <w:t xml:space="preserve"> and </w:t>
      </w:r>
      <w:r w:rsidRPr="009100AE">
        <w:rPr>
          <w:rFonts w:ascii="Verdana" w:hAnsi="Verdana"/>
          <w:sz w:val="22"/>
          <w:szCs w:val="22"/>
        </w:rPr>
        <w:t xml:space="preserve">Final Physical must be completed prior to separation.  Documentation showing completion of TAMP/TAP and Final Physical is NOT required, but the CO’s recommendation letter should mention the completion of these requirements or provide the schedule and/or expected completion date.  </w:t>
      </w:r>
    </w:p>
    <w:p w:rsidR="00C8241E" w:rsidRPr="00266B82" w:rsidRDefault="00966871" w:rsidP="003714EE">
      <w:pPr>
        <w:ind w:left="540"/>
        <w:rPr>
          <w:sz w:val="20"/>
          <w:szCs w:val="20"/>
        </w:rPr>
      </w:pPr>
      <w:r w:rsidRPr="009100AE">
        <w:br/>
      </w:r>
    </w:p>
    <w:sectPr w:rsidR="00C8241E" w:rsidRPr="00266B82" w:rsidSect="0096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CC6"/>
    <w:multiLevelType w:val="hybridMultilevel"/>
    <w:tmpl w:val="B69AB0E2"/>
    <w:lvl w:ilvl="0" w:tplc="3DD6CA6C">
      <w:start w:val="1"/>
      <w:numFmt w:val="bullet"/>
      <w:lvlText w:val=""/>
      <w:lvlJc w:val="left"/>
      <w:pPr>
        <w:tabs>
          <w:tab w:val="num" w:pos="900"/>
        </w:tabs>
        <w:ind w:left="900" w:hanging="360"/>
      </w:pPr>
      <w:rPr>
        <w:rFonts w:ascii="Wingdings" w:hAnsi="Wingdings" w:hint="default"/>
        <w:sz w:val="28"/>
      </w:rPr>
    </w:lvl>
    <w:lvl w:ilvl="1" w:tplc="757454F0">
      <w:start w:val="1"/>
      <w:numFmt w:val="bullet"/>
      <w:lvlText w:val=""/>
      <w:lvlJc w:val="left"/>
      <w:pPr>
        <w:tabs>
          <w:tab w:val="num" w:pos="1620"/>
        </w:tabs>
        <w:ind w:left="1620" w:hanging="360"/>
      </w:pPr>
      <w:rPr>
        <w:rFonts w:ascii="Wingdings" w:hAnsi="Wingdings" w:hint="default"/>
        <w:sz w:val="20"/>
      </w:rPr>
    </w:lvl>
    <w:lvl w:ilvl="2" w:tplc="C666D106">
      <w:start w:val="1"/>
      <w:numFmt w:val="bullet"/>
      <w:lvlText w:val=""/>
      <w:lvlJc w:val="left"/>
      <w:pPr>
        <w:tabs>
          <w:tab w:val="num" w:pos="900"/>
        </w:tabs>
        <w:ind w:left="900" w:hanging="360"/>
      </w:pPr>
      <w:rPr>
        <w:rFonts w:ascii="Wingdings" w:hAnsi="Wingdings" w:hint="default"/>
        <w:sz w:val="28"/>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hint="default"/>
      </w:rPr>
    </w:lvl>
    <w:lvl w:ilvl="5" w:tplc="04090005">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16cid:durableId="123477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6871"/>
    <w:rsid w:val="00266B82"/>
    <w:rsid w:val="003714EE"/>
    <w:rsid w:val="006C026F"/>
    <w:rsid w:val="00785B62"/>
    <w:rsid w:val="008012CA"/>
    <w:rsid w:val="00822C7B"/>
    <w:rsid w:val="00966871"/>
    <w:rsid w:val="00C8241E"/>
    <w:rsid w:val="00DC6B54"/>
    <w:rsid w:val="00FD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EB8D28-F5C8-4B88-9409-C743DEA4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871"/>
    <w:rPr>
      <w:rFonts w:eastAsia="SimSun"/>
      <w:sz w:val="24"/>
      <w:szCs w:val="24"/>
      <w:lang w:eastAsia="zh-CN"/>
    </w:rPr>
  </w:style>
  <w:style w:type="paragraph" w:styleId="Heading2">
    <w:name w:val="heading 2"/>
    <w:basedOn w:val="Normal"/>
    <w:next w:val="Normal"/>
    <w:qFormat/>
    <w:rsid w:val="0096687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66871"/>
    <w:pPr>
      <w:spacing w:after="120"/>
    </w:pPr>
  </w:style>
  <w:style w:type="character" w:styleId="Hyperlink">
    <w:name w:val="Hyperlink"/>
    <w:rsid w:val="00966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6206 Unsatisfactory Performance of Duty</vt:lpstr>
    </vt:vector>
  </TitlesOfParts>
  <Company>NMCI</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6206 Unsatisfactory Performance of Duty</dc:title>
  <dc:subject/>
  <dc:creator>william.pennington</dc:creator>
  <cp:keywords/>
  <cp:lastModifiedBy>LCampbell</cp:lastModifiedBy>
  <cp:revision>2</cp:revision>
  <dcterms:created xsi:type="dcterms:W3CDTF">2012-02-22T18:43:00Z</dcterms:created>
  <dcterms:modified xsi:type="dcterms:W3CDTF">2012-02-22T18:43:00Z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JLCFileType">
    <vt:lpwstr>AdminLawChecklist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PublishingExpirationDate">
    <vt:lpwstr/>
  </property>
  <property fmtid="{D5CDD505-2E9C-101B-9397-08002B2CF9AE}" pid="12" name="PublishingStartDate">
    <vt:lpwstr/>
  </property>
</Properties>
</file>