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3FF7" w:rsidRPr="00783FF7" w:rsidRDefault="00783FF7" w:rsidP="00783FF7">
      <w:pPr>
        <w:pStyle w:val="Heading2"/>
        <w:rPr>
          <w:rFonts w:ascii="Verdana" w:hAnsi="Verdana" w:cs="Times New Roman"/>
          <w:sz w:val="22"/>
          <w:szCs w:val="22"/>
        </w:rPr>
      </w:pPr>
      <w:r w:rsidRPr="00783FF7">
        <w:rPr>
          <w:rFonts w:ascii="Verdana" w:hAnsi="Verdana" w:cs="Times New Roman"/>
          <w:sz w:val="22"/>
          <w:szCs w:val="22"/>
        </w:rPr>
        <w:t>PATTERN OF MISCONDUCT – 6210.3</w:t>
      </w:r>
    </w:p>
    <w:p w:rsidR="00783FF7" w:rsidRPr="00783FF7" w:rsidRDefault="00783FF7" w:rsidP="00783FF7">
      <w:pPr>
        <w:ind w:left="540"/>
        <w:rPr>
          <w:rFonts w:ascii="Verdana" w:hAnsi="Verdana"/>
          <w:sz w:val="22"/>
          <w:szCs w:val="22"/>
        </w:rPr>
      </w:pPr>
    </w:p>
    <w:p w:rsidR="00783FF7" w:rsidRPr="00783FF7" w:rsidRDefault="00783FF7" w:rsidP="00783FF7">
      <w:pPr>
        <w:rPr>
          <w:rFonts w:ascii="Verdana" w:hAnsi="Verdana"/>
          <w:sz w:val="22"/>
          <w:szCs w:val="22"/>
        </w:rPr>
      </w:pPr>
      <w:r w:rsidRPr="00783FF7">
        <w:rPr>
          <w:rFonts w:ascii="Verdana" w:hAnsi="Verdana"/>
          <w:sz w:val="22"/>
          <w:szCs w:val="22"/>
        </w:rPr>
        <w:t>A minimum of two (2) incidents occurring within one enlistment is required.  May</w:t>
      </w:r>
      <w:r>
        <w:rPr>
          <w:rFonts w:ascii="Verdana" w:hAnsi="Verdana"/>
          <w:sz w:val="22"/>
          <w:szCs w:val="22"/>
        </w:rPr>
        <w:t xml:space="preserve"> </w:t>
      </w:r>
      <w:r w:rsidRPr="00783FF7">
        <w:rPr>
          <w:rFonts w:ascii="Verdana" w:hAnsi="Verdana"/>
          <w:sz w:val="22"/>
          <w:szCs w:val="22"/>
        </w:rPr>
        <w:t xml:space="preserve">be minor or </w:t>
      </w:r>
      <w:r>
        <w:rPr>
          <w:rFonts w:ascii="Verdana" w:hAnsi="Verdana"/>
          <w:sz w:val="22"/>
          <w:szCs w:val="22"/>
        </w:rPr>
        <w:t xml:space="preserve">more </w:t>
      </w:r>
      <w:r w:rsidRPr="00783FF7">
        <w:rPr>
          <w:rFonts w:ascii="Verdana" w:hAnsi="Verdana"/>
          <w:sz w:val="22"/>
          <w:szCs w:val="22"/>
        </w:rPr>
        <w:t xml:space="preserve">serious.  Incidents do </w:t>
      </w:r>
      <w:r>
        <w:rPr>
          <w:rFonts w:ascii="Verdana" w:hAnsi="Verdana"/>
          <w:sz w:val="22"/>
          <w:szCs w:val="22"/>
        </w:rPr>
        <w:t xml:space="preserve">not </w:t>
      </w:r>
      <w:r w:rsidRPr="00783FF7">
        <w:rPr>
          <w:rFonts w:ascii="Verdana" w:hAnsi="Verdana"/>
          <w:sz w:val="22"/>
          <w:szCs w:val="22"/>
        </w:rPr>
        <w:t xml:space="preserve">have to be of the same nature.  There must be discreditable involvement with civil or military authorities or conduct prejudicial to good order and discipline.  Misconduct need </w:t>
      </w:r>
      <w:r>
        <w:rPr>
          <w:rFonts w:ascii="Verdana" w:hAnsi="Verdana"/>
          <w:sz w:val="22"/>
          <w:szCs w:val="22"/>
        </w:rPr>
        <w:t>not</w:t>
      </w:r>
      <w:r w:rsidRPr="00783FF7">
        <w:rPr>
          <w:rFonts w:ascii="Verdana" w:hAnsi="Verdana"/>
          <w:sz w:val="22"/>
          <w:szCs w:val="22"/>
        </w:rPr>
        <w:t xml:space="preserve"> have been the subject of NJP or any conviction.  Separation may not be initiated until Marine </w:t>
      </w:r>
      <w:r w:rsidRPr="00381342">
        <w:rPr>
          <w:rFonts w:ascii="Verdana" w:hAnsi="Verdana"/>
          <w:sz w:val="22"/>
          <w:szCs w:val="22"/>
          <w:u w:val="single"/>
        </w:rPr>
        <w:t>has been counseled per 6105</w:t>
      </w:r>
      <w:r w:rsidRPr="00783FF7">
        <w:rPr>
          <w:rFonts w:ascii="Verdana" w:hAnsi="Verdana"/>
          <w:sz w:val="22"/>
          <w:szCs w:val="22"/>
        </w:rPr>
        <w:t xml:space="preserve"> and further misconduct has occurred.  </w:t>
      </w:r>
    </w:p>
    <w:p w:rsidR="00966871" w:rsidRPr="009100AE" w:rsidRDefault="00966871" w:rsidP="00966871">
      <w:pPr>
        <w:rPr>
          <w:rFonts w:ascii="Verdana" w:hAnsi="Verdana"/>
          <w:sz w:val="22"/>
          <w:szCs w:val="22"/>
        </w:rPr>
      </w:pPr>
    </w:p>
    <w:p w:rsidR="00966871" w:rsidRPr="009100AE" w:rsidRDefault="00966871" w:rsidP="00966871">
      <w:pPr>
        <w:pStyle w:val="BodyText"/>
        <w:rPr>
          <w:rFonts w:ascii="Verdana" w:hAnsi="Verdana"/>
          <w:sz w:val="22"/>
          <w:szCs w:val="22"/>
          <w:u w:val="single"/>
        </w:rPr>
      </w:pPr>
      <w:r w:rsidRPr="009100AE">
        <w:rPr>
          <w:rFonts w:ascii="Verdana" w:hAnsi="Verdana"/>
          <w:sz w:val="22"/>
          <w:szCs w:val="22"/>
          <w:u w:val="single"/>
        </w:rPr>
        <w:t>Checklist</w:t>
      </w:r>
    </w:p>
    <w:p w:rsidR="00966871" w:rsidRPr="009100AE" w:rsidRDefault="00966871" w:rsidP="00966871">
      <w:pPr>
        <w:numPr>
          <w:ilvl w:val="0"/>
          <w:numId w:val="1"/>
        </w:numPr>
        <w:tabs>
          <w:tab w:val="left" w:pos="1260"/>
        </w:tabs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CO’s letter recommending separation with the following Enclosures:</w:t>
      </w:r>
    </w:p>
    <w:p w:rsidR="00966871" w:rsidRPr="009100AE" w:rsidRDefault="00966871" w:rsidP="00966871">
      <w:pPr>
        <w:numPr>
          <w:ilvl w:val="0"/>
          <w:numId w:val="1"/>
        </w:numPr>
        <w:tabs>
          <w:tab w:val="left" w:pos="1260"/>
        </w:tabs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1- Notification of Separation Proceedings</w:t>
      </w:r>
    </w:p>
    <w:p w:rsidR="00966871" w:rsidRPr="009100AE" w:rsidRDefault="00966871" w:rsidP="00966871">
      <w:pPr>
        <w:numPr>
          <w:ilvl w:val="1"/>
          <w:numId w:val="1"/>
        </w:numPr>
        <w:tabs>
          <w:tab w:val="left" w:pos="1260"/>
        </w:tabs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BCNR/NDRB form (MARCORSEPMAN Appendix D)</w:t>
      </w:r>
    </w:p>
    <w:p w:rsidR="00966871" w:rsidRPr="009100AE" w:rsidRDefault="00966871" w:rsidP="00966871">
      <w:pPr>
        <w:numPr>
          <w:ilvl w:val="1"/>
          <w:numId w:val="1"/>
        </w:numPr>
        <w:tabs>
          <w:tab w:val="left" w:pos="1260"/>
        </w:tabs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Acknowledgement of Rights to be Exercised or Waived</w:t>
      </w:r>
    </w:p>
    <w:p w:rsidR="00966871" w:rsidRPr="009100AE" w:rsidRDefault="00966871" w:rsidP="00966871">
      <w:pPr>
        <w:numPr>
          <w:ilvl w:val="0"/>
          <w:numId w:val="1"/>
        </w:numPr>
        <w:tabs>
          <w:tab w:val="left" w:pos="1260"/>
        </w:tabs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2 - Copy of Service Record Book (Right and Left side)</w:t>
      </w:r>
    </w:p>
    <w:p w:rsidR="00966871" w:rsidRPr="009100AE" w:rsidRDefault="00966871" w:rsidP="00966871">
      <w:pPr>
        <w:numPr>
          <w:ilvl w:val="2"/>
          <w:numId w:val="1"/>
        </w:numPr>
        <w:tabs>
          <w:tab w:val="left" w:pos="1260"/>
        </w:tabs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3 - 3270 printout of BIR, BTR, ROS, AWDS, D119 (under 30 days old)</w:t>
      </w:r>
    </w:p>
    <w:p w:rsidR="00966871" w:rsidRDefault="00783FF7" w:rsidP="00966871">
      <w:pPr>
        <w:numPr>
          <w:ilvl w:val="2"/>
          <w:numId w:val="1"/>
        </w:numPr>
        <w:tabs>
          <w:tab w:val="left" w:pos="126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4 - S</w:t>
      </w:r>
      <w:r w:rsidR="00966871" w:rsidRPr="009100AE">
        <w:rPr>
          <w:rFonts w:ascii="Verdana" w:hAnsi="Verdana"/>
          <w:sz w:val="22"/>
          <w:szCs w:val="22"/>
        </w:rPr>
        <w:t xml:space="preserve">upporting </w:t>
      </w:r>
      <w:r>
        <w:rPr>
          <w:rFonts w:ascii="Verdana" w:hAnsi="Verdana"/>
          <w:sz w:val="22"/>
          <w:szCs w:val="22"/>
        </w:rPr>
        <w:t>documentation</w:t>
      </w:r>
    </w:p>
    <w:p w:rsidR="00783FF7" w:rsidRPr="009100AE" w:rsidRDefault="00783FF7" w:rsidP="00783FF7">
      <w:pPr>
        <w:numPr>
          <w:ilvl w:val="1"/>
          <w:numId w:val="1"/>
        </w:numPr>
        <w:tabs>
          <w:tab w:val="left" w:pos="126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Unit Punishment Book Pages for NJP</w:t>
      </w:r>
    </w:p>
    <w:p w:rsidR="00966871" w:rsidRPr="009100AE" w:rsidRDefault="00966871" w:rsidP="00966871">
      <w:pPr>
        <w:numPr>
          <w:ilvl w:val="1"/>
          <w:numId w:val="1"/>
        </w:numPr>
        <w:tabs>
          <w:tab w:val="left" w:pos="1260"/>
        </w:tabs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Civil court documents</w:t>
      </w:r>
    </w:p>
    <w:p w:rsidR="00966871" w:rsidRPr="009100AE" w:rsidRDefault="00966871" w:rsidP="00966871">
      <w:pPr>
        <w:numPr>
          <w:ilvl w:val="1"/>
          <w:numId w:val="1"/>
        </w:numPr>
        <w:tabs>
          <w:tab w:val="left" w:pos="1260"/>
        </w:tabs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Police report</w:t>
      </w:r>
      <w:r w:rsidR="00783FF7">
        <w:rPr>
          <w:rFonts w:ascii="Verdana" w:hAnsi="Verdana"/>
          <w:sz w:val="22"/>
          <w:szCs w:val="22"/>
        </w:rPr>
        <w:t>s</w:t>
      </w:r>
    </w:p>
    <w:p w:rsidR="00966871" w:rsidRPr="009100AE" w:rsidRDefault="00966871" w:rsidP="00966871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5 - Character statements with recommendations from the following:</w:t>
      </w:r>
    </w:p>
    <w:p w:rsidR="00966871" w:rsidRPr="009100AE" w:rsidRDefault="00966871" w:rsidP="00966871">
      <w:pPr>
        <w:numPr>
          <w:ilvl w:val="1"/>
          <w:numId w:val="1"/>
        </w:numPr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OIC</w:t>
      </w:r>
    </w:p>
    <w:p w:rsidR="00966871" w:rsidRPr="009100AE" w:rsidRDefault="00966871" w:rsidP="00966871">
      <w:pPr>
        <w:numPr>
          <w:ilvl w:val="1"/>
          <w:numId w:val="1"/>
        </w:numPr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SNCOIC</w:t>
      </w:r>
    </w:p>
    <w:p w:rsidR="00800D83" w:rsidRDefault="00800D83" w:rsidP="00800D83">
      <w:pPr>
        <w:numPr>
          <w:ilvl w:val="1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CO’s Interview Letter</w:t>
      </w:r>
    </w:p>
    <w:p w:rsidR="00800D83" w:rsidRPr="009100AE" w:rsidRDefault="00800D83" w:rsidP="00800D83">
      <w:pPr>
        <w:numPr>
          <w:ilvl w:val="1"/>
          <w:numId w:val="1"/>
        </w:numPr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SgtMaj’s</w:t>
      </w:r>
      <w:proofErr w:type="spellEnd"/>
      <w:r>
        <w:rPr>
          <w:rFonts w:ascii="Verdana" w:hAnsi="Verdana"/>
          <w:sz w:val="22"/>
          <w:szCs w:val="22"/>
        </w:rPr>
        <w:t xml:space="preserve"> Interview Letter</w:t>
      </w:r>
    </w:p>
    <w:p w:rsidR="00966871" w:rsidRDefault="00966871" w:rsidP="00966871">
      <w:pPr>
        <w:ind w:left="1260"/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*Required by the Wing CG*</w:t>
      </w:r>
    </w:p>
    <w:p w:rsidR="00834C1B" w:rsidRPr="009100AE" w:rsidRDefault="00834C1B" w:rsidP="00834C1B">
      <w:pPr>
        <w:numPr>
          <w:ilvl w:val="2"/>
          <w:numId w:val="1"/>
        </w:numPr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PTSD checklist and memo</w:t>
      </w:r>
    </w:p>
    <w:p w:rsidR="00834C1B" w:rsidRDefault="00834C1B" w:rsidP="00966871">
      <w:pPr>
        <w:ind w:left="1260"/>
        <w:rPr>
          <w:rFonts w:ascii="Verdana" w:hAnsi="Verdana"/>
          <w:sz w:val="22"/>
          <w:szCs w:val="22"/>
        </w:rPr>
      </w:pPr>
    </w:p>
    <w:p w:rsidR="00834C1B" w:rsidRPr="009100AE" w:rsidRDefault="00834C1B" w:rsidP="00834C1B">
      <w:pPr>
        <w:ind w:left="540"/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If Applicable:</w:t>
      </w:r>
    </w:p>
    <w:p w:rsidR="00834C1B" w:rsidRPr="009100AE" w:rsidRDefault="00834C1B" w:rsidP="00966871">
      <w:pPr>
        <w:ind w:left="1260"/>
        <w:rPr>
          <w:rFonts w:ascii="Verdana" w:hAnsi="Verdana"/>
          <w:sz w:val="22"/>
          <w:szCs w:val="22"/>
        </w:rPr>
      </w:pPr>
    </w:p>
    <w:p w:rsidR="00966871" w:rsidRPr="009100AE" w:rsidRDefault="00966871" w:rsidP="00966871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SACC evaluation for alcohol or drug related incidents</w:t>
      </w:r>
    </w:p>
    <w:p w:rsidR="00966871" w:rsidRPr="009100AE" w:rsidRDefault="00966871" w:rsidP="00966871">
      <w:pPr>
        <w:numPr>
          <w:ilvl w:val="1"/>
          <w:numId w:val="1"/>
        </w:numPr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Evaluation letter must state if Abuser or Dependent</w:t>
      </w:r>
    </w:p>
    <w:p w:rsidR="00966871" w:rsidRPr="009100AE" w:rsidRDefault="00966871" w:rsidP="00966871">
      <w:pPr>
        <w:numPr>
          <w:ilvl w:val="1"/>
          <w:numId w:val="1"/>
        </w:numPr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Certificate of Treatment Completion</w:t>
      </w:r>
    </w:p>
    <w:p w:rsidR="00966871" w:rsidRPr="009100AE" w:rsidRDefault="00966871" w:rsidP="00966871">
      <w:pPr>
        <w:numPr>
          <w:ilvl w:val="1"/>
          <w:numId w:val="1"/>
        </w:numPr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Letter of Treatment Refusal</w:t>
      </w:r>
    </w:p>
    <w:p w:rsidR="00966871" w:rsidRDefault="00966871" w:rsidP="00966871">
      <w:pPr>
        <w:numPr>
          <w:ilvl w:val="2"/>
          <w:numId w:val="1"/>
        </w:numPr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Copy of the Pre-Trial Agreement (PTA)</w:t>
      </w:r>
    </w:p>
    <w:p w:rsidR="00966871" w:rsidRPr="009100AE" w:rsidRDefault="00966871" w:rsidP="00966871">
      <w:pPr>
        <w:numPr>
          <w:ilvl w:val="2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Results of Trial with SJA Review, Page 13 complete in SRB</w:t>
      </w:r>
    </w:p>
    <w:p w:rsidR="00966871" w:rsidRPr="009100AE" w:rsidRDefault="00966871" w:rsidP="00966871">
      <w:pPr>
        <w:ind w:left="540"/>
        <w:rPr>
          <w:rFonts w:ascii="Verdana" w:hAnsi="Verdana"/>
          <w:sz w:val="22"/>
          <w:szCs w:val="22"/>
        </w:rPr>
      </w:pPr>
    </w:p>
    <w:p w:rsidR="00966871" w:rsidRPr="009100AE" w:rsidRDefault="00966871" w:rsidP="00966871">
      <w:pPr>
        <w:ind w:left="540"/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Note:</w:t>
      </w:r>
    </w:p>
    <w:p w:rsidR="00966871" w:rsidRPr="009100AE" w:rsidRDefault="00966871" w:rsidP="00966871">
      <w:pPr>
        <w:ind w:left="540"/>
        <w:rPr>
          <w:rFonts w:ascii="Verdana" w:hAnsi="Verdana"/>
          <w:sz w:val="22"/>
          <w:szCs w:val="22"/>
        </w:rPr>
      </w:pPr>
    </w:p>
    <w:p w:rsidR="00966871" w:rsidRPr="009100AE" w:rsidRDefault="00966871" w:rsidP="00966871">
      <w:pPr>
        <w:ind w:left="540"/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 xml:space="preserve">TAMP/TAP, Final Physical, and Treatment for Alcohol or Drug Dependency must be completed prior to separation.  Documentation showing completion of TAMP/TAP and Final Physical is NOT required, but the CO’s recommendation letter should mention the completion of these requirements or provide the schedule and/or expected completion date.  </w:t>
      </w:r>
    </w:p>
    <w:p w:rsidR="00C8241E" w:rsidRPr="00E529BC" w:rsidRDefault="00966871" w:rsidP="00800D83">
      <w:pPr>
        <w:ind w:left="540"/>
        <w:rPr>
          <w:sz w:val="20"/>
          <w:szCs w:val="20"/>
        </w:rPr>
      </w:pPr>
      <w:r w:rsidRPr="009100AE">
        <w:br/>
      </w:r>
    </w:p>
    <w:sectPr w:rsidR="00C8241E" w:rsidRPr="00E529BC" w:rsidSect="00783FF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CC6"/>
    <w:multiLevelType w:val="hybridMultilevel"/>
    <w:tmpl w:val="B69AB0E2"/>
    <w:lvl w:ilvl="0" w:tplc="3DD6CA6C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8"/>
      </w:rPr>
    </w:lvl>
    <w:lvl w:ilvl="1" w:tplc="757454F0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2" w:tplc="C666D106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8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2243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6871"/>
    <w:rsid w:val="00266F15"/>
    <w:rsid w:val="00381342"/>
    <w:rsid w:val="00783FF7"/>
    <w:rsid w:val="00800D83"/>
    <w:rsid w:val="00834C1B"/>
    <w:rsid w:val="00966871"/>
    <w:rsid w:val="00C8241E"/>
    <w:rsid w:val="00DC6B54"/>
    <w:rsid w:val="00E5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BB1635E-118F-4BE9-AE2A-D346E84D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6871"/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qFormat/>
    <w:rsid w:val="009668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66871"/>
    <w:pPr>
      <w:spacing w:after="120"/>
    </w:pPr>
  </w:style>
  <w:style w:type="character" w:styleId="Hyperlink">
    <w:name w:val="Hyperlink"/>
    <w:rsid w:val="009668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6210.3 Pattern of Misconduct</vt:lpstr>
    </vt:vector>
  </TitlesOfParts>
  <Company>NMCI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6210.3 Pattern of Misconduct</dc:title>
  <dc:subject/>
  <dc:creator>william.pennington</dc:creator>
  <cp:keywords/>
  <cp:lastModifiedBy>LCampbell</cp:lastModifiedBy>
  <cp:revision>2</cp:revision>
  <dcterms:created xsi:type="dcterms:W3CDTF">2012-02-22T18:46:00Z</dcterms:created>
  <dcterms:modified xsi:type="dcterms:W3CDTF">2012-02-22T18:46:00Z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JLCFileType">
    <vt:lpwstr>AdminLawChecklist</vt:lpwstr>
  </property>
  <property fmtid="{D5CDD505-2E9C-101B-9397-08002B2CF9AE}" pid="4" name="display_urn:schemas-microsoft-com:office:office#Editor">
    <vt:lpwstr>System Account</vt:lpwstr>
  </property>
  <property fmtid="{D5CDD505-2E9C-101B-9397-08002B2CF9AE}" pid="5" name="xd_Signature">
    <vt:lpwstr/>
  </property>
  <property fmtid="{D5CDD505-2E9C-101B-9397-08002B2CF9AE}" pid="6" name="display_urn:schemas-microsoft-com:office:office#Author">
    <vt:lpwstr>System Account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PublishingExpirationDate">
    <vt:lpwstr/>
  </property>
  <property fmtid="{D5CDD505-2E9C-101B-9397-08002B2CF9AE}" pid="12" name="PublishingStartDate">
    <vt:lpwstr/>
  </property>
</Properties>
</file>