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80B" w:rsidRPr="00744F72" w:rsidRDefault="008F580B" w:rsidP="008F580B">
      <w:pPr>
        <w:pStyle w:val="BodyText"/>
        <w:rPr>
          <w:rFonts w:ascii="Verdana" w:hAnsi="Verdana"/>
          <w:b/>
          <w:bCs/>
          <w:i/>
          <w:iCs/>
          <w:sz w:val="22"/>
          <w:szCs w:val="22"/>
        </w:rPr>
      </w:pPr>
      <w:r w:rsidRPr="00744F72">
        <w:rPr>
          <w:rFonts w:ascii="Verdana" w:hAnsi="Verdana"/>
          <w:b/>
          <w:bCs/>
          <w:i/>
          <w:iCs/>
          <w:sz w:val="22"/>
          <w:szCs w:val="22"/>
        </w:rPr>
        <w:t>FAILURE TO CONFORM TO WEIGHT-STANDARDS - 6215</w:t>
      </w:r>
    </w:p>
    <w:p w:rsidR="008F580B" w:rsidRPr="00744F72" w:rsidRDefault="00EB250F" w:rsidP="00A16A3A">
      <w:pPr>
        <w:pStyle w:val="BodyText"/>
        <w:rPr>
          <w:rFonts w:ascii="Verdana" w:hAnsi="Verdana"/>
          <w:sz w:val="22"/>
          <w:szCs w:val="22"/>
        </w:rPr>
      </w:pPr>
      <w:r w:rsidRPr="00744F72">
        <w:rPr>
          <w:rFonts w:ascii="Verdana" w:hAnsi="Verdana"/>
          <w:sz w:val="22"/>
          <w:szCs w:val="22"/>
        </w:rPr>
        <w:t>When the sole reason for separation is failure to meet weight and body fat standards</w:t>
      </w:r>
      <w:r w:rsidR="00D15029" w:rsidRPr="00744F72">
        <w:rPr>
          <w:rFonts w:ascii="Verdana" w:hAnsi="Verdana"/>
          <w:sz w:val="22"/>
          <w:szCs w:val="22"/>
        </w:rPr>
        <w:t xml:space="preserve"> set forth by MCO</w:t>
      </w:r>
      <w:r w:rsidR="00DE1D37">
        <w:rPr>
          <w:rFonts w:ascii="Verdana" w:hAnsi="Verdana"/>
          <w:sz w:val="22"/>
          <w:szCs w:val="22"/>
        </w:rPr>
        <w:t xml:space="preserve"> 6110.3</w:t>
      </w:r>
      <w:r w:rsidRPr="00744F72">
        <w:rPr>
          <w:rFonts w:ascii="Verdana" w:hAnsi="Verdana"/>
          <w:sz w:val="22"/>
          <w:szCs w:val="22"/>
        </w:rPr>
        <w:t>, and the Marines performance and conduct otherwise conform with established standards, if separation is warranted, the Marine shall be separated under this paragraph.</w:t>
      </w:r>
      <w:r w:rsidR="003A03F5" w:rsidRPr="00744F72">
        <w:rPr>
          <w:rFonts w:ascii="Verdana" w:hAnsi="Verdana"/>
          <w:sz w:val="22"/>
          <w:szCs w:val="22"/>
        </w:rPr>
        <w:t xml:space="preserve"> </w:t>
      </w:r>
      <w:r w:rsidR="001A748F">
        <w:rPr>
          <w:rFonts w:ascii="Verdana" w:hAnsi="Verdana"/>
          <w:sz w:val="22"/>
          <w:szCs w:val="22"/>
        </w:rPr>
        <w:t xml:space="preserve"> </w:t>
      </w:r>
      <w:r w:rsidR="003A03F5" w:rsidRPr="00744F72">
        <w:rPr>
          <w:rFonts w:ascii="Verdana" w:hAnsi="Verdana"/>
          <w:sz w:val="22"/>
          <w:szCs w:val="22"/>
        </w:rPr>
        <w:t xml:space="preserve">Separation may not be initiated until Marine </w:t>
      </w:r>
      <w:r w:rsidR="003A03F5" w:rsidRPr="00744F72">
        <w:rPr>
          <w:rFonts w:ascii="Verdana" w:hAnsi="Verdana"/>
          <w:sz w:val="22"/>
          <w:szCs w:val="22"/>
          <w:u w:val="single"/>
        </w:rPr>
        <w:t>has been counseled per 6105</w:t>
      </w:r>
      <w:r w:rsidR="00744F72">
        <w:rPr>
          <w:rFonts w:ascii="Verdana" w:hAnsi="Verdana"/>
          <w:sz w:val="22"/>
          <w:szCs w:val="22"/>
          <w:u w:val="single"/>
        </w:rPr>
        <w:t>.</w:t>
      </w:r>
    </w:p>
    <w:p w:rsidR="00744F72" w:rsidRPr="009100AE" w:rsidRDefault="00744F72" w:rsidP="00744F72">
      <w:pPr>
        <w:pStyle w:val="BodyText"/>
        <w:rPr>
          <w:rFonts w:ascii="Verdana" w:hAnsi="Verdana"/>
          <w:sz w:val="22"/>
          <w:szCs w:val="22"/>
          <w:u w:val="single"/>
        </w:rPr>
      </w:pPr>
      <w:r w:rsidRPr="009100AE">
        <w:rPr>
          <w:rFonts w:ascii="Verdana" w:hAnsi="Verdana"/>
          <w:sz w:val="22"/>
          <w:szCs w:val="22"/>
          <w:u w:val="single"/>
        </w:rPr>
        <w:t>Checklist</w:t>
      </w:r>
    </w:p>
    <w:p w:rsidR="00744F72" w:rsidRPr="009100AE" w:rsidRDefault="00744F72" w:rsidP="00744F72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CO’s letter recommending separation with the following Enclosures:</w:t>
      </w:r>
    </w:p>
    <w:p w:rsidR="00744F72" w:rsidRPr="009100AE" w:rsidRDefault="00744F72" w:rsidP="00744F72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1- Notification of Separation Proceedings</w:t>
      </w:r>
    </w:p>
    <w:p w:rsidR="00744F72" w:rsidRPr="009100AE" w:rsidRDefault="00744F72" w:rsidP="00744F72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BCNR/NDRB form (MARCORSEPMAN Appendix D)</w:t>
      </w:r>
    </w:p>
    <w:p w:rsidR="00744F72" w:rsidRPr="009100AE" w:rsidRDefault="00744F72" w:rsidP="00744F72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Acknowledgement of Rights to be Exercised or Waived</w:t>
      </w:r>
    </w:p>
    <w:p w:rsidR="00744F72" w:rsidRPr="009100AE" w:rsidRDefault="00744F72" w:rsidP="00744F72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2 - Copy of Service Record Book (Right and Left side)</w:t>
      </w:r>
    </w:p>
    <w:p w:rsidR="00744F72" w:rsidRPr="009100AE" w:rsidRDefault="00744F72" w:rsidP="00744F72">
      <w:pPr>
        <w:numPr>
          <w:ilvl w:val="2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3 - 3270 printout of BIR, BTR, ROS, AWDS, D119 (under 30 days old)</w:t>
      </w:r>
    </w:p>
    <w:p w:rsidR="001A748F" w:rsidRDefault="001A748F" w:rsidP="00A16A3A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 – </w:t>
      </w:r>
      <w:r w:rsidR="006601C1">
        <w:rPr>
          <w:rFonts w:ascii="Verdana" w:hAnsi="Verdana"/>
          <w:sz w:val="22"/>
          <w:szCs w:val="22"/>
        </w:rPr>
        <w:t>Body Composition Program Documents</w:t>
      </w:r>
    </w:p>
    <w:p w:rsidR="002E553B" w:rsidRDefault="006601C1" w:rsidP="001A748F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BCP Evaluation Form (NAVMC 11621)</w:t>
      </w:r>
    </w:p>
    <w:p w:rsidR="006601C1" w:rsidRDefault="002E553B" w:rsidP="001A748F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Page 11/6105 </w:t>
      </w:r>
      <w:r w:rsidR="006601C1">
        <w:rPr>
          <w:rFonts w:ascii="Verdana" w:hAnsi="Verdana"/>
          <w:sz w:val="22"/>
          <w:szCs w:val="22"/>
        </w:rPr>
        <w:t xml:space="preserve"> </w:t>
      </w:r>
    </w:p>
    <w:p w:rsidR="001A748F" w:rsidRDefault="00D15029" w:rsidP="001A748F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744F72">
        <w:rPr>
          <w:rFonts w:ascii="Verdana" w:hAnsi="Verdana"/>
          <w:sz w:val="22"/>
          <w:szCs w:val="22"/>
        </w:rPr>
        <w:t xml:space="preserve">Copy of weight control program documentation, up-to-date </w:t>
      </w:r>
      <w:r w:rsidR="00580121" w:rsidRPr="00744F72">
        <w:rPr>
          <w:rFonts w:ascii="Verdana" w:hAnsi="Verdana"/>
          <w:sz w:val="22"/>
          <w:szCs w:val="22"/>
        </w:rPr>
        <w:t>weight charts and weight graphs</w:t>
      </w:r>
    </w:p>
    <w:p w:rsidR="00744F72" w:rsidRPr="009100AE" w:rsidRDefault="00744F72" w:rsidP="00744F7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Pr="009100AE">
        <w:rPr>
          <w:rFonts w:ascii="Verdana" w:hAnsi="Verdana"/>
          <w:sz w:val="22"/>
          <w:szCs w:val="22"/>
        </w:rPr>
        <w:t xml:space="preserve"> - Character statements with recommendations from the following:</w:t>
      </w:r>
    </w:p>
    <w:p w:rsidR="00744F72" w:rsidRPr="009100AE" w:rsidRDefault="00744F72" w:rsidP="00744F7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OIC</w:t>
      </w:r>
    </w:p>
    <w:p w:rsidR="00744F72" w:rsidRPr="009100AE" w:rsidRDefault="00744F72" w:rsidP="00744F7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SNCOIC</w:t>
      </w:r>
    </w:p>
    <w:p w:rsidR="00744F72" w:rsidRDefault="009E1346" w:rsidP="00744F7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CO’s Interview Letter</w:t>
      </w:r>
    </w:p>
    <w:p w:rsidR="009E1346" w:rsidRPr="009100AE" w:rsidRDefault="009E1346" w:rsidP="00744F7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SgtMaj’s</w:t>
      </w:r>
      <w:proofErr w:type="spellEnd"/>
      <w:r>
        <w:rPr>
          <w:rFonts w:ascii="Verdana" w:hAnsi="Verdana"/>
          <w:sz w:val="22"/>
          <w:szCs w:val="22"/>
        </w:rPr>
        <w:t xml:space="preserve"> Interview Letter</w:t>
      </w:r>
    </w:p>
    <w:p w:rsidR="00744F72" w:rsidRPr="009100AE" w:rsidRDefault="00744F72" w:rsidP="00744F72">
      <w:pPr>
        <w:ind w:left="126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*Required by the Wing CG*</w:t>
      </w:r>
    </w:p>
    <w:p w:rsidR="004415ED" w:rsidRPr="009100AE" w:rsidRDefault="004415ED" w:rsidP="004415ED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PTSD checklist and memo</w:t>
      </w:r>
    </w:p>
    <w:p w:rsidR="004415ED" w:rsidRDefault="004415ED" w:rsidP="00744F72">
      <w:pPr>
        <w:ind w:left="540"/>
        <w:rPr>
          <w:rFonts w:ascii="Verdana" w:hAnsi="Verdana"/>
          <w:sz w:val="22"/>
          <w:szCs w:val="22"/>
        </w:rPr>
      </w:pPr>
    </w:p>
    <w:p w:rsidR="00744F72" w:rsidRPr="009100AE" w:rsidRDefault="00744F72" w:rsidP="00744F72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Note:</w:t>
      </w:r>
    </w:p>
    <w:p w:rsidR="00744F72" w:rsidRPr="009100AE" w:rsidRDefault="00744F72" w:rsidP="00744F72">
      <w:pPr>
        <w:ind w:left="540"/>
        <w:rPr>
          <w:rFonts w:ascii="Verdana" w:hAnsi="Verdana"/>
          <w:sz w:val="22"/>
          <w:szCs w:val="22"/>
        </w:rPr>
      </w:pPr>
    </w:p>
    <w:p w:rsidR="00744F72" w:rsidRPr="009100AE" w:rsidRDefault="00744F72" w:rsidP="00744F72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 xml:space="preserve">TAMP/TAP, Final Physical, and Treatment for Alcohol or Drug Dependency must be completed prior to separation.  Documentation showing completion of TAMP/TAP and Final Physical is NOT required, but the CO’s recommendation letter should mention the completion of these requirements or provide the schedule and/or expected completion date.  </w:t>
      </w:r>
    </w:p>
    <w:p w:rsidR="008F580B" w:rsidRPr="00DE1D37" w:rsidRDefault="00744F72" w:rsidP="008F580B">
      <w:pPr>
        <w:pStyle w:val="BodyText"/>
        <w:rPr>
          <w:rFonts w:ascii="Verdana" w:hAnsi="Verdana"/>
          <w:sz w:val="20"/>
          <w:szCs w:val="20"/>
        </w:rPr>
      </w:pPr>
      <w:r w:rsidRPr="009100AE">
        <w:rPr>
          <w:rFonts w:ascii="Verdana" w:hAnsi="Verdana"/>
          <w:sz w:val="22"/>
          <w:szCs w:val="22"/>
        </w:rPr>
        <w:br/>
      </w:r>
    </w:p>
    <w:p w:rsidR="008F580B" w:rsidRPr="00744F72" w:rsidRDefault="008F580B" w:rsidP="003A03F5">
      <w:pPr>
        <w:pStyle w:val="BodyText"/>
        <w:rPr>
          <w:rFonts w:ascii="Verdana" w:hAnsi="Verdana"/>
          <w:b/>
          <w:bCs/>
          <w:sz w:val="22"/>
          <w:szCs w:val="22"/>
          <w:u w:val="single"/>
        </w:rPr>
      </w:pPr>
      <w:r w:rsidRPr="00744F72">
        <w:rPr>
          <w:rFonts w:ascii="Verdana" w:hAnsi="Verdana"/>
          <w:sz w:val="22"/>
          <w:szCs w:val="22"/>
        </w:rPr>
        <w:t>Notes:</w:t>
      </w:r>
      <w:r w:rsidRPr="00744F72">
        <w:rPr>
          <w:rFonts w:ascii="Verdana" w:hAnsi="Verdana"/>
          <w:b/>
          <w:bCs/>
          <w:sz w:val="22"/>
          <w:szCs w:val="22"/>
        </w:rPr>
        <w:t xml:space="preserve">  </w:t>
      </w:r>
      <w:r w:rsidRPr="00744F72">
        <w:rPr>
          <w:rFonts w:ascii="Verdana" w:hAnsi="Verdana"/>
          <w:sz w:val="22"/>
          <w:szCs w:val="22"/>
        </w:rPr>
        <w:t>** Marines who weigh more at the end of assignment than at the beginning or who have little net loss of weight have failed to make a reasonable effort and are NOT eligible for separation under par</w:t>
      </w:r>
      <w:r w:rsidR="00580121" w:rsidRPr="00744F72">
        <w:rPr>
          <w:rFonts w:ascii="Verdana" w:hAnsi="Verdana"/>
          <w:sz w:val="22"/>
          <w:szCs w:val="22"/>
        </w:rPr>
        <w:t>agraph</w:t>
      </w:r>
      <w:r w:rsidRPr="00744F72">
        <w:rPr>
          <w:rFonts w:ascii="Verdana" w:hAnsi="Verdana"/>
          <w:sz w:val="22"/>
          <w:szCs w:val="22"/>
        </w:rPr>
        <w:t xml:space="preserve"> 6215.  Refer to CMC guidance and par 6206, </w:t>
      </w:r>
      <w:proofErr w:type="spellStart"/>
      <w:r w:rsidRPr="00744F72">
        <w:rPr>
          <w:rFonts w:ascii="Verdana" w:hAnsi="Verdana"/>
          <w:sz w:val="22"/>
          <w:szCs w:val="22"/>
        </w:rPr>
        <w:t>Unsat</w:t>
      </w:r>
      <w:proofErr w:type="spellEnd"/>
      <w:r w:rsidRPr="00744F72">
        <w:rPr>
          <w:rFonts w:ascii="Verdana" w:hAnsi="Verdana"/>
          <w:sz w:val="22"/>
          <w:szCs w:val="22"/>
        </w:rPr>
        <w:t xml:space="preserve"> Performance.  In these cases, Marines should receive a 6105 counseling for unsatisfactory performance while assigned to the weight control and/or body composition program. </w:t>
      </w:r>
    </w:p>
    <w:sectPr w:rsidR="008F580B" w:rsidRPr="00744F72" w:rsidSect="001A748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CC6"/>
    <w:multiLevelType w:val="hybridMultilevel"/>
    <w:tmpl w:val="6A942D7A"/>
    <w:lvl w:ilvl="0" w:tplc="3DD6CA6C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1" w:tplc="757454F0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 w:tplc="C666D106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8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36C4C9E"/>
    <w:multiLevelType w:val="multilevel"/>
    <w:tmpl w:val="B69AB0E2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A1443DE"/>
    <w:multiLevelType w:val="hybridMultilevel"/>
    <w:tmpl w:val="9E2695E8"/>
    <w:lvl w:ilvl="0" w:tplc="DF34698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64336997">
    <w:abstractNumId w:val="0"/>
  </w:num>
  <w:num w:numId="2" w16cid:durableId="1637682412">
    <w:abstractNumId w:val="1"/>
  </w:num>
  <w:num w:numId="3" w16cid:durableId="1605727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80B"/>
    <w:rsid w:val="001A748F"/>
    <w:rsid w:val="002D4A24"/>
    <w:rsid w:val="002E553B"/>
    <w:rsid w:val="003A03F5"/>
    <w:rsid w:val="003E34A0"/>
    <w:rsid w:val="003E3C62"/>
    <w:rsid w:val="004415ED"/>
    <w:rsid w:val="00525788"/>
    <w:rsid w:val="00580121"/>
    <w:rsid w:val="005E51F2"/>
    <w:rsid w:val="006601C1"/>
    <w:rsid w:val="00744F72"/>
    <w:rsid w:val="008F580B"/>
    <w:rsid w:val="009E1346"/>
    <w:rsid w:val="00A16A3A"/>
    <w:rsid w:val="00A367A7"/>
    <w:rsid w:val="00A8051C"/>
    <w:rsid w:val="00D15029"/>
    <w:rsid w:val="00D4398C"/>
    <w:rsid w:val="00DE1D37"/>
    <w:rsid w:val="00E82FC0"/>
    <w:rsid w:val="00EB250F"/>
    <w:rsid w:val="00ED718F"/>
    <w:rsid w:val="00FA0DEF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F97CB3-6571-48DB-8598-5E75B8BB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8F"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F580B"/>
    <w:pPr>
      <w:spacing w:after="120"/>
    </w:pPr>
  </w:style>
  <w:style w:type="character" w:styleId="Hyperlink">
    <w:name w:val="Hyperlink"/>
    <w:rsid w:val="00744F72"/>
    <w:rPr>
      <w:color w:val="0000FF"/>
      <w:u w:val="single"/>
    </w:rPr>
  </w:style>
  <w:style w:type="paragraph" w:styleId="BalloonText">
    <w:name w:val="Balloon Text"/>
    <w:basedOn w:val="Normal"/>
    <w:semiHidden/>
    <w:rsid w:val="006601C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E1D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6215 Weight Control Failure</vt:lpstr>
    </vt:vector>
  </TitlesOfParts>
  <Company>NMCI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6215 Weight Control Failure</dc:title>
  <dc:subject/>
  <dc:creator>raul.dominguez</dc:creator>
  <cp:keywords/>
  <cp:lastModifiedBy>LCampbell</cp:lastModifiedBy>
  <cp:revision>2</cp:revision>
  <cp:lastPrinted>2008-10-21T17:53:00Z</cp:lastPrinted>
  <dcterms:created xsi:type="dcterms:W3CDTF">2012-02-22T18:48:00Z</dcterms:created>
  <dcterms:modified xsi:type="dcterms:W3CDTF">2012-02-22T18:48:00Z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JLCFileType">
    <vt:lpwstr>AdminLawChecklist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